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AA808" w14:textId="62D4EAE1" w:rsidR="008D3D64" w:rsidRPr="00E040D1" w:rsidRDefault="008D3D64" w:rsidP="00E040D1">
      <w:pPr>
        <w:keepNext/>
        <w:keepLines/>
        <w:spacing w:before="480" w:after="0" w:line="276" w:lineRule="auto"/>
        <w:jc w:val="center"/>
        <w:outlineLvl w:val="0"/>
        <w:rPr>
          <w:rFonts w:asciiTheme="majorBidi" w:eastAsia="Times New Roman" w:hAnsiTheme="majorBidi" w:cstheme="majorBidi"/>
          <w:b/>
          <w:bCs/>
          <w:kern w:val="36"/>
          <w:sz w:val="24"/>
          <w:szCs w:val="24"/>
          <w:rtl/>
          <w:lang w:bidi="ar-EG"/>
        </w:rPr>
      </w:pPr>
      <w:bookmarkStart w:id="0" w:name="_Hlk96240708"/>
      <w:bookmarkEnd w:id="0"/>
      <w:r w:rsidRPr="00E040D1">
        <w:rPr>
          <w:rFonts w:asciiTheme="majorBidi" w:eastAsia="Times New Roman" w:hAnsiTheme="majorBidi" w:cstheme="majorBidi"/>
          <w:b/>
          <w:bCs/>
          <w:kern w:val="36"/>
          <w:sz w:val="24"/>
          <w:szCs w:val="24"/>
          <w:lang w:bidi="ar-EG"/>
        </w:rPr>
        <w:t xml:space="preserve">The </w:t>
      </w:r>
      <w:r w:rsidR="00F879FE" w:rsidRPr="00E040D1">
        <w:rPr>
          <w:rFonts w:asciiTheme="majorBidi" w:eastAsia="Times New Roman" w:hAnsiTheme="majorBidi" w:cstheme="majorBidi"/>
          <w:b/>
          <w:bCs/>
          <w:kern w:val="36"/>
          <w:sz w:val="24"/>
          <w:szCs w:val="24"/>
          <w:lang w:bidi="ar-EG"/>
        </w:rPr>
        <w:t>R</w:t>
      </w:r>
      <w:r w:rsidRPr="00E040D1">
        <w:rPr>
          <w:rFonts w:asciiTheme="majorBidi" w:eastAsia="Times New Roman" w:hAnsiTheme="majorBidi" w:cstheme="majorBidi"/>
          <w:b/>
          <w:bCs/>
          <w:kern w:val="36"/>
          <w:sz w:val="24"/>
          <w:szCs w:val="24"/>
          <w:lang w:bidi="ar-EG"/>
        </w:rPr>
        <w:t xml:space="preserve">ole of </w:t>
      </w:r>
      <w:r w:rsidRPr="00E040D1">
        <w:rPr>
          <w:rFonts w:asciiTheme="majorBidi" w:eastAsia="Times New Roman" w:hAnsiTheme="majorBidi" w:cstheme="majorBidi"/>
          <w:b/>
          <w:bCs/>
          <w:kern w:val="36"/>
          <w:sz w:val="24"/>
          <w:szCs w:val="24"/>
        </w:rPr>
        <w:t xml:space="preserve">early </w:t>
      </w:r>
      <w:r w:rsidR="00F879FE" w:rsidRPr="00E040D1">
        <w:rPr>
          <w:rFonts w:asciiTheme="majorBidi" w:eastAsia="Times New Roman" w:hAnsiTheme="majorBidi" w:cstheme="majorBidi"/>
          <w:b/>
          <w:bCs/>
          <w:kern w:val="36"/>
          <w:sz w:val="24"/>
          <w:szCs w:val="24"/>
        </w:rPr>
        <w:t>U</w:t>
      </w:r>
      <w:r w:rsidRPr="00E040D1">
        <w:rPr>
          <w:rFonts w:asciiTheme="majorBidi" w:eastAsia="Times New Roman" w:hAnsiTheme="majorBidi" w:cstheme="majorBidi"/>
          <w:b/>
          <w:bCs/>
          <w:kern w:val="36"/>
          <w:sz w:val="24"/>
          <w:szCs w:val="24"/>
        </w:rPr>
        <w:t xml:space="preserve">se of </w:t>
      </w:r>
      <w:r w:rsidR="00F879FE" w:rsidRPr="00E040D1">
        <w:rPr>
          <w:rFonts w:asciiTheme="majorBidi" w:eastAsia="Times New Roman" w:hAnsiTheme="majorBidi" w:cstheme="majorBidi"/>
          <w:b/>
          <w:bCs/>
          <w:kern w:val="36"/>
          <w:sz w:val="24"/>
          <w:szCs w:val="24"/>
        </w:rPr>
        <w:t>C</w:t>
      </w:r>
      <w:r w:rsidRPr="00E040D1">
        <w:rPr>
          <w:rFonts w:asciiTheme="majorBidi" w:eastAsia="Times New Roman" w:hAnsiTheme="majorBidi" w:cstheme="majorBidi"/>
          <w:b/>
          <w:bCs/>
          <w:kern w:val="36"/>
          <w:sz w:val="24"/>
          <w:szCs w:val="24"/>
        </w:rPr>
        <w:t>orticosteroids (</w:t>
      </w:r>
      <w:r w:rsidR="00820097" w:rsidRPr="00E040D1">
        <w:rPr>
          <w:rFonts w:asciiTheme="majorBidi" w:eastAsia="Times New Roman" w:hAnsiTheme="majorBidi" w:cstheme="majorBidi"/>
          <w:b/>
          <w:bCs/>
          <w:kern w:val="36"/>
          <w:sz w:val="24"/>
          <w:szCs w:val="24"/>
        </w:rPr>
        <w:t>P</w:t>
      </w:r>
      <w:r w:rsidRPr="00E040D1">
        <w:rPr>
          <w:rFonts w:asciiTheme="majorBidi" w:eastAsia="Times New Roman" w:hAnsiTheme="majorBidi" w:cstheme="majorBidi"/>
          <w:b/>
          <w:bCs/>
          <w:kern w:val="36"/>
          <w:sz w:val="24"/>
          <w:szCs w:val="24"/>
        </w:rPr>
        <w:t xml:space="preserve">ulse </w:t>
      </w:r>
      <w:r w:rsidR="00820097" w:rsidRPr="00E040D1">
        <w:rPr>
          <w:rFonts w:asciiTheme="majorBidi" w:eastAsia="Times New Roman" w:hAnsiTheme="majorBidi" w:cstheme="majorBidi"/>
          <w:b/>
          <w:bCs/>
          <w:kern w:val="36"/>
          <w:sz w:val="24"/>
          <w:szCs w:val="24"/>
        </w:rPr>
        <w:t>S</w:t>
      </w:r>
      <w:r w:rsidRPr="00E040D1">
        <w:rPr>
          <w:rFonts w:asciiTheme="majorBidi" w:eastAsia="Times New Roman" w:hAnsiTheme="majorBidi" w:cstheme="majorBidi"/>
          <w:b/>
          <w:bCs/>
          <w:kern w:val="36"/>
          <w:sz w:val="24"/>
          <w:szCs w:val="24"/>
        </w:rPr>
        <w:t xml:space="preserve">teroid </w:t>
      </w:r>
      <w:r w:rsidR="00820097" w:rsidRPr="00E040D1">
        <w:rPr>
          <w:rFonts w:asciiTheme="majorBidi" w:eastAsia="Times New Roman" w:hAnsiTheme="majorBidi" w:cstheme="majorBidi"/>
          <w:b/>
          <w:bCs/>
          <w:kern w:val="36"/>
          <w:sz w:val="24"/>
          <w:szCs w:val="24"/>
        </w:rPr>
        <w:t>V</w:t>
      </w:r>
      <w:r w:rsidRPr="00E040D1">
        <w:rPr>
          <w:rFonts w:asciiTheme="majorBidi" w:eastAsia="Times New Roman" w:hAnsiTheme="majorBidi" w:cstheme="majorBidi"/>
          <w:b/>
          <w:bCs/>
          <w:kern w:val="36"/>
          <w:sz w:val="24"/>
          <w:szCs w:val="24"/>
        </w:rPr>
        <w:t xml:space="preserve">ersus </w:t>
      </w:r>
      <w:r w:rsidR="00820097" w:rsidRPr="00E040D1">
        <w:rPr>
          <w:rFonts w:asciiTheme="majorBidi" w:eastAsia="Times New Roman" w:hAnsiTheme="majorBidi" w:cstheme="majorBidi"/>
          <w:b/>
          <w:bCs/>
          <w:kern w:val="36"/>
          <w:sz w:val="24"/>
          <w:szCs w:val="24"/>
        </w:rPr>
        <w:t>R</w:t>
      </w:r>
      <w:r w:rsidRPr="00E040D1">
        <w:rPr>
          <w:rFonts w:asciiTheme="majorBidi" w:eastAsia="Times New Roman" w:hAnsiTheme="majorBidi" w:cstheme="majorBidi"/>
          <w:b/>
          <w:bCs/>
          <w:kern w:val="36"/>
          <w:sz w:val="24"/>
          <w:szCs w:val="24"/>
        </w:rPr>
        <w:t xml:space="preserve">egular dose of </w:t>
      </w:r>
      <w:r w:rsidR="00A24326" w:rsidRPr="00E040D1">
        <w:rPr>
          <w:rFonts w:asciiTheme="majorBidi" w:eastAsia="Times New Roman" w:hAnsiTheme="majorBidi" w:cstheme="majorBidi"/>
          <w:b/>
          <w:bCs/>
          <w:kern w:val="36"/>
          <w:sz w:val="24"/>
          <w:szCs w:val="24"/>
        </w:rPr>
        <w:t>Steroid)</w:t>
      </w:r>
      <w:r w:rsidRPr="00E040D1">
        <w:rPr>
          <w:rFonts w:asciiTheme="majorBidi" w:eastAsia="Times New Roman" w:hAnsiTheme="majorBidi" w:cstheme="majorBidi"/>
          <w:b/>
          <w:bCs/>
          <w:kern w:val="36"/>
          <w:sz w:val="24"/>
          <w:szCs w:val="24"/>
        </w:rPr>
        <w:t xml:space="preserve"> </w:t>
      </w:r>
      <w:r w:rsidR="00F879FE" w:rsidRPr="00E040D1">
        <w:rPr>
          <w:rFonts w:asciiTheme="majorBidi" w:eastAsia="Times New Roman" w:hAnsiTheme="majorBidi" w:cstheme="majorBidi"/>
          <w:b/>
          <w:bCs/>
          <w:kern w:val="36"/>
          <w:sz w:val="24"/>
          <w:szCs w:val="24"/>
        </w:rPr>
        <w:t>I</w:t>
      </w:r>
      <w:r w:rsidRPr="00E040D1">
        <w:rPr>
          <w:rFonts w:asciiTheme="majorBidi" w:eastAsia="Times New Roman" w:hAnsiTheme="majorBidi" w:cstheme="majorBidi"/>
          <w:b/>
          <w:bCs/>
          <w:kern w:val="36"/>
          <w:sz w:val="24"/>
          <w:szCs w:val="24"/>
        </w:rPr>
        <w:t xml:space="preserve">n </w:t>
      </w:r>
      <w:r w:rsidR="00F879FE" w:rsidRPr="00E040D1">
        <w:rPr>
          <w:rFonts w:asciiTheme="majorBidi" w:eastAsia="Times New Roman" w:hAnsiTheme="majorBidi" w:cstheme="majorBidi"/>
          <w:b/>
          <w:bCs/>
          <w:kern w:val="36"/>
          <w:sz w:val="24"/>
          <w:szCs w:val="24"/>
        </w:rPr>
        <w:t>P</w:t>
      </w:r>
      <w:r w:rsidRPr="00E040D1">
        <w:rPr>
          <w:rFonts w:asciiTheme="majorBidi" w:eastAsia="Times New Roman" w:hAnsiTheme="majorBidi" w:cstheme="majorBidi"/>
          <w:b/>
          <w:bCs/>
          <w:kern w:val="36"/>
          <w:sz w:val="24"/>
          <w:szCs w:val="24"/>
        </w:rPr>
        <w:t xml:space="preserve">atients of </w:t>
      </w:r>
      <w:r w:rsidR="00F879FE" w:rsidRPr="00E040D1">
        <w:rPr>
          <w:rFonts w:asciiTheme="majorBidi" w:eastAsia="Times New Roman" w:hAnsiTheme="majorBidi" w:cstheme="majorBidi"/>
          <w:b/>
          <w:bCs/>
          <w:kern w:val="36"/>
          <w:sz w:val="24"/>
          <w:szCs w:val="24"/>
        </w:rPr>
        <w:t>S</w:t>
      </w:r>
      <w:r w:rsidRPr="00E040D1">
        <w:rPr>
          <w:rFonts w:asciiTheme="majorBidi" w:eastAsia="Times New Roman" w:hAnsiTheme="majorBidi" w:cstheme="majorBidi"/>
          <w:b/>
          <w:bCs/>
          <w:kern w:val="36"/>
          <w:sz w:val="24"/>
          <w:szCs w:val="24"/>
        </w:rPr>
        <w:t xml:space="preserve">evere </w:t>
      </w:r>
      <w:r w:rsidR="00F879FE" w:rsidRPr="00E040D1">
        <w:rPr>
          <w:rFonts w:asciiTheme="majorBidi" w:eastAsia="Times New Roman" w:hAnsiTheme="majorBidi" w:cstheme="majorBidi"/>
          <w:b/>
          <w:bCs/>
          <w:kern w:val="36"/>
          <w:sz w:val="24"/>
          <w:szCs w:val="24"/>
        </w:rPr>
        <w:t>I</w:t>
      </w:r>
      <w:r w:rsidRPr="00E040D1">
        <w:rPr>
          <w:rFonts w:asciiTheme="majorBidi" w:eastAsia="Times New Roman" w:hAnsiTheme="majorBidi" w:cstheme="majorBidi"/>
          <w:b/>
          <w:bCs/>
          <w:kern w:val="36"/>
          <w:sz w:val="24"/>
          <w:szCs w:val="24"/>
        </w:rPr>
        <w:t xml:space="preserve">llness of </w:t>
      </w:r>
      <w:r w:rsidR="00F879FE" w:rsidRPr="00E040D1">
        <w:rPr>
          <w:rFonts w:asciiTheme="majorBidi" w:eastAsia="Times New Roman" w:hAnsiTheme="majorBidi" w:cstheme="majorBidi"/>
          <w:b/>
          <w:bCs/>
          <w:kern w:val="36"/>
          <w:sz w:val="24"/>
          <w:szCs w:val="24"/>
        </w:rPr>
        <w:t>C</w:t>
      </w:r>
      <w:r w:rsidRPr="00E040D1">
        <w:rPr>
          <w:rFonts w:asciiTheme="majorBidi" w:eastAsia="Times New Roman" w:hAnsiTheme="majorBidi" w:cstheme="majorBidi"/>
          <w:b/>
          <w:bCs/>
          <w:kern w:val="36"/>
          <w:sz w:val="24"/>
          <w:szCs w:val="24"/>
        </w:rPr>
        <w:t>ovid 19</w:t>
      </w:r>
    </w:p>
    <w:p w14:paraId="3E0DD861" w14:textId="1CFB78DB" w:rsidR="007A102D" w:rsidRPr="00E040D1" w:rsidRDefault="0031041B" w:rsidP="00E040D1">
      <w:pPr>
        <w:pStyle w:val="BodyText"/>
        <w:spacing w:before="198" w:line="276" w:lineRule="auto"/>
        <w:ind w:right="953"/>
        <w:jc w:val="both"/>
        <w:rPr>
          <w:rFonts w:asciiTheme="majorBidi" w:hAnsiTheme="majorBidi" w:cstheme="majorBidi"/>
          <w:sz w:val="24"/>
          <w:szCs w:val="24"/>
          <w:lang w:bidi="ar-EG"/>
        </w:rPr>
      </w:pPr>
      <w:r w:rsidRPr="00E040D1">
        <w:rPr>
          <w:rFonts w:asciiTheme="majorBidi" w:eastAsia="Calibri" w:hAnsiTheme="majorBidi" w:cstheme="majorBidi"/>
          <w:sz w:val="24"/>
          <w:szCs w:val="24"/>
          <w:lang w:bidi="ar-EG"/>
        </w:rPr>
        <w:t>Ahmed Goda El Gazzar</w:t>
      </w:r>
      <w:r w:rsidR="000D22EE" w:rsidRPr="00E040D1">
        <w:rPr>
          <w:rFonts w:asciiTheme="majorBidi" w:eastAsia="Calibri" w:hAnsiTheme="majorBidi" w:cstheme="majorBidi"/>
          <w:sz w:val="24"/>
          <w:szCs w:val="24"/>
          <w:vertAlign w:val="superscript"/>
          <w:lang w:bidi="ar-EG"/>
        </w:rPr>
        <w:t>1</w:t>
      </w:r>
      <w:r w:rsidR="000D22EE" w:rsidRPr="00E040D1">
        <w:rPr>
          <w:rFonts w:asciiTheme="majorBidi" w:eastAsia="Calibri" w:hAnsiTheme="majorBidi" w:cstheme="majorBidi"/>
          <w:sz w:val="24"/>
          <w:szCs w:val="24"/>
          <w:lang w:bidi="ar-EG"/>
        </w:rPr>
        <w:t xml:space="preserve">, </w:t>
      </w:r>
      <w:r w:rsidR="00781249" w:rsidRPr="00E040D1">
        <w:rPr>
          <w:rFonts w:asciiTheme="majorBidi" w:eastAsia="Calibri" w:hAnsiTheme="majorBidi" w:cstheme="majorBidi"/>
          <w:sz w:val="24"/>
          <w:szCs w:val="24"/>
          <w:lang w:bidi="ar-EG"/>
        </w:rPr>
        <w:t>Tarek Samy Essawy</w:t>
      </w:r>
      <w:r w:rsidR="00781249" w:rsidRPr="00E040D1">
        <w:rPr>
          <w:rFonts w:asciiTheme="majorBidi" w:eastAsia="Calibri" w:hAnsiTheme="majorBidi" w:cstheme="majorBidi"/>
          <w:sz w:val="24"/>
          <w:szCs w:val="24"/>
          <w:vertAlign w:val="superscript"/>
          <w:lang w:bidi="ar-EG"/>
        </w:rPr>
        <w:t>2</w:t>
      </w:r>
      <w:r w:rsidR="00781249" w:rsidRPr="00E040D1">
        <w:rPr>
          <w:rFonts w:asciiTheme="majorBidi" w:eastAsia="Calibri" w:hAnsiTheme="majorBidi" w:cstheme="majorBidi"/>
          <w:sz w:val="24"/>
          <w:szCs w:val="24"/>
          <w:lang w:bidi="ar-EG"/>
        </w:rPr>
        <w:t>,</w:t>
      </w:r>
      <w:r w:rsidR="00934EAE" w:rsidRPr="00E040D1">
        <w:rPr>
          <w:rFonts w:asciiTheme="majorBidi" w:eastAsia="Calibri" w:hAnsiTheme="majorBidi" w:cstheme="majorBidi"/>
          <w:sz w:val="24"/>
          <w:szCs w:val="24"/>
          <w:lang w:bidi="ar-EG"/>
        </w:rPr>
        <w:t xml:space="preserve"> Ahmed Hamdy Abd el Rahman</w:t>
      </w:r>
      <w:r w:rsidR="00934EAE" w:rsidRPr="00E040D1">
        <w:rPr>
          <w:rFonts w:asciiTheme="majorBidi" w:eastAsia="Calibri" w:hAnsiTheme="majorBidi" w:cstheme="majorBidi"/>
          <w:sz w:val="24"/>
          <w:szCs w:val="24"/>
          <w:vertAlign w:val="superscript"/>
          <w:lang w:bidi="ar-EG"/>
        </w:rPr>
        <w:t>3</w:t>
      </w:r>
      <w:r w:rsidR="00934EAE" w:rsidRPr="00E040D1">
        <w:rPr>
          <w:rFonts w:asciiTheme="majorBidi" w:eastAsia="Calibri" w:hAnsiTheme="majorBidi" w:cstheme="majorBidi"/>
          <w:sz w:val="24"/>
          <w:szCs w:val="24"/>
          <w:lang w:bidi="ar-EG"/>
        </w:rPr>
        <w:t>and</w:t>
      </w:r>
      <w:r w:rsidR="00C305D4" w:rsidRPr="00E040D1">
        <w:rPr>
          <w:rFonts w:asciiTheme="majorBidi" w:eastAsia="Arial" w:hAnsiTheme="majorBidi" w:cstheme="majorBidi"/>
          <w:sz w:val="24"/>
          <w:szCs w:val="24"/>
          <w:lang w:bidi="en-US"/>
        </w:rPr>
        <w:t xml:space="preserve"> Randa Reda</w:t>
      </w:r>
      <w:r w:rsidR="003777D1" w:rsidRPr="00E040D1">
        <w:rPr>
          <w:rFonts w:asciiTheme="majorBidi" w:eastAsia="Arial" w:hAnsiTheme="majorBidi" w:cstheme="majorBidi"/>
          <w:sz w:val="24"/>
          <w:szCs w:val="24"/>
          <w:lang w:bidi="en-US"/>
        </w:rPr>
        <w:t xml:space="preserve"> </w:t>
      </w:r>
      <w:r w:rsidR="00C305D4" w:rsidRPr="00E040D1">
        <w:rPr>
          <w:rFonts w:asciiTheme="majorBidi" w:eastAsia="Arial" w:hAnsiTheme="majorBidi" w:cstheme="majorBidi"/>
          <w:sz w:val="24"/>
          <w:szCs w:val="24"/>
          <w:lang w:bidi="en-US"/>
        </w:rPr>
        <w:t>Ahmed</w:t>
      </w:r>
      <w:r w:rsidR="001D7166" w:rsidRPr="00E040D1">
        <w:rPr>
          <w:rFonts w:asciiTheme="majorBidi" w:eastAsia="Arial" w:hAnsiTheme="majorBidi" w:cstheme="majorBidi"/>
          <w:sz w:val="24"/>
          <w:szCs w:val="24"/>
          <w:vertAlign w:val="superscript"/>
          <w:lang w:bidi="en-US"/>
        </w:rPr>
        <w:t>4</w:t>
      </w:r>
      <w:r w:rsidR="006A2E3F" w:rsidRPr="00E040D1">
        <w:rPr>
          <w:rFonts w:asciiTheme="majorBidi" w:eastAsia="Arial" w:hAnsiTheme="majorBidi" w:cstheme="majorBidi"/>
          <w:sz w:val="24"/>
          <w:szCs w:val="24"/>
          <w:lang w:bidi="en-US"/>
        </w:rPr>
        <w:t>.</w:t>
      </w:r>
      <w:r w:rsidR="008922AE" w:rsidRPr="00E040D1">
        <w:rPr>
          <w:rFonts w:asciiTheme="majorBidi" w:eastAsia="Arial" w:hAnsiTheme="majorBidi" w:cstheme="majorBidi"/>
          <w:sz w:val="24"/>
          <w:szCs w:val="24"/>
          <w:vertAlign w:val="superscript"/>
          <w:lang w:bidi="en-US"/>
        </w:rPr>
        <w:t>1</w:t>
      </w:r>
      <w:r w:rsidR="003777D1" w:rsidRPr="00E040D1">
        <w:rPr>
          <w:rFonts w:asciiTheme="majorBidi" w:hAnsiTheme="majorBidi" w:cstheme="majorBidi"/>
          <w:sz w:val="24"/>
          <w:szCs w:val="24"/>
          <w:lang w:bidi="ar-EG"/>
        </w:rPr>
        <w:t xml:space="preserve"> Professor of chest diseases</w:t>
      </w:r>
      <w:r w:rsidR="005F11BF" w:rsidRPr="00E040D1">
        <w:rPr>
          <w:rFonts w:asciiTheme="majorBidi" w:hAnsiTheme="majorBidi" w:cstheme="majorBidi"/>
          <w:sz w:val="24"/>
          <w:szCs w:val="24"/>
          <w:lang w:bidi="ar-EG"/>
        </w:rPr>
        <w:t>,</w:t>
      </w:r>
      <w:r w:rsidR="005F11BF" w:rsidRPr="00E040D1">
        <w:rPr>
          <w:rFonts w:asciiTheme="majorBidi" w:hAnsiTheme="majorBidi" w:cstheme="majorBidi"/>
          <w:sz w:val="24"/>
          <w:szCs w:val="24"/>
          <w:vertAlign w:val="superscript"/>
          <w:lang w:bidi="ar-EG"/>
        </w:rPr>
        <w:t>2</w:t>
      </w:r>
      <w:r w:rsidR="005F11BF" w:rsidRPr="00E040D1">
        <w:rPr>
          <w:rFonts w:asciiTheme="majorBidi" w:hAnsiTheme="majorBidi" w:cstheme="majorBidi"/>
          <w:sz w:val="24"/>
          <w:szCs w:val="24"/>
          <w:lang w:bidi="ar-EG"/>
        </w:rPr>
        <w:t xml:space="preserve"> Assistant professor of chest diseases</w:t>
      </w:r>
      <w:r w:rsidR="007A102D" w:rsidRPr="00E040D1">
        <w:rPr>
          <w:rFonts w:asciiTheme="majorBidi" w:hAnsiTheme="majorBidi" w:cstheme="majorBidi"/>
          <w:sz w:val="24"/>
          <w:szCs w:val="24"/>
          <w:vertAlign w:val="superscript"/>
          <w:lang w:bidi="ar-EG"/>
        </w:rPr>
        <w:t>3</w:t>
      </w:r>
      <w:r w:rsidR="007A102D" w:rsidRPr="00E040D1">
        <w:rPr>
          <w:rFonts w:asciiTheme="majorBidi" w:hAnsiTheme="majorBidi" w:cstheme="majorBidi"/>
          <w:sz w:val="24"/>
          <w:szCs w:val="24"/>
          <w:lang w:bidi="ar-EG"/>
        </w:rPr>
        <w:t xml:space="preserve"> Lecturer of </w:t>
      </w:r>
      <w:r w:rsidR="00950EB5" w:rsidRPr="00E040D1">
        <w:rPr>
          <w:rFonts w:asciiTheme="majorBidi" w:hAnsiTheme="majorBidi" w:cstheme="majorBidi"/>
          <w:sz w:val="24"/>
          <w:szCs w:val="24"/>
          <w:lang w:bidi="ar-EG"/>
        </w:rPr>
        <w:t>anesthesia</w:t>
      </w:r>
      <w:r w:rsidR="007A102D" w:rsidRPr="00E040D1">
        <w:rPr>
          <w:rFonts w:asciiTheme="majorBidi" w:hAnsiTheme="majorBidi" w:cstheme="majorBidi"/>
          <w:sz w:val="24"/>
          <w:szCs w:val="24"/>
          <w:lang w:bidi="ar-EG"/>
        </w:rPr>
        <w:t xml:space="preserve"> and critical care</w:t>
      </w:r>
      <w:r w:rsidR="007A102D" w:rsidRPr="00E040D1">
        <w:rPr>
          <w:rFonts w:asciiTheme="majorBidi" w:hAnsiTheme="majorBidi" w:cstheme="majorBidi"/>
          <w:sz w:val="24"/>
          <w:szCs w:val="24"/>
          <w:vertAlign w:val="superscript"/>
          <w:lang w:bidi="ar-EG"/>
        </w:rPr>
        <w:t>4</w:t>
      </w:r>
      <w:r w:rsidR="007A102D" w:rsidRPr="00E040D1">
        <w:rPr>
          <w:rFonts w:asciiTheme="majorBidi" w:hAnsiTheme="majorBidi" w:cstheme="majorBidi"/>
          <w:sz w:val="24"/>
          <w:szCs w:val="24"/>
        </w:rPr>
        <w:t xml:space="preserve"> MBBCh, MSc in critical care medicine</w:t>
      </w:r>
      <w:r w:rsidR="003A64F5" w:rsidRPr="00E040D1">
        <w:rPr>
          <w:rFonts w:asciiTheme="majorBidi" w:hAnsiTheme="majorBidi" w:cstheme="majorBidi"/>
          <w:sz w:val="24"/>
          <w:szCs w:val="24"/>
        </w:rPr>
        <w:t xml:space="preserve">. </w:t>
      </w:r>
      <w:r w:rsidR="003A64F5" w:rsidRPr="00E040D1">
        <w:rPr>
          <w:rFonts w:asciiTheme="majorBidi" w:hAnsiTheme="majorBidi" w:cstheme="majorBidi"/>
          <w:sz w:val="24"/>
          <w:szCs w:val="24"/>
          <w:lang w:bidi="ar-EG"/>
        </w:rPr>
        <w:t>Faculty of Medicine- Benha University</w:t>
      </w:r>
      <w:r w:rsidR="0025589D" w:rsidRPr="00E040D1">
        <w:rPr>
          <w:rFonts w:asciiTheme="majorBidi" w:hAnsiTheme="majorBidi" w:cstheme="majorBidi"/>
          <w:sz w:val="24"/>
          <w:szCs w:val="24"/>
          <w:lang w:bidi="ar-EG"/>
        </w:rPr>
        <w:t>.</w:t>
      </w:r>
    </w:p>
    <w:p w14:paraId="3BE01512" w14:textId="026032A4" w:rsidR="00945A73" w:rsidRPr="00E040D1" w:rsidRDefault="0025589D" w:rsidP="00E040D1">
      <w:pPr>
        <w:pStyle w:val="BodyText"/>
        <w:spacing w:before="198" w:line="276" w:lineRule="auto"/>
        <w:ind w:right="953"/>
        <w:jc w:val="both"/>
        <w:rPr>
          <w:rFonts w:asciiTheme="majorBidi" w:hAnsiTheme="majorBidi" w:cstheme="majorBidi"/>
          <w:sz w:val="24"/>
          <w:szCs w:val="24"/>
          <w:lang w:bidi="en-US"/>
        </w:rPr>
      </w:pPr>
      <w:r w:rsidRPr="00E040D1">
        <w:rPr>
          <w:rFonts w:asciiTheme="majorBidi" w:hAnsiTheme="majorBidi" w:cstheme="majorBidi"/>
          <w:sz w:val="24"/>
          <w:szCs w:val="24"/>
          <w:lang w:bidi="ar-EG"/>
        </w:rPr>
        <w:t>Corresponding author:</w:t>
      </w:r>
      <w:r w:rsidRPr="00E040D1">
        <w:rPr>
          <w:rFonts w:asciiTheme="majorBidi" w:eastAsia="Arial" w:hAnsiTheme="majorBidi" w:cstheme="majorBidi"/>
          <w:sz w:val="24"/>
          <w:szCs w:val="24"/>
          <w:lang w:bidi="en-US"/>
        </w:rPr>
        <w:t xml:space="preserve"> </w:t>
      </w:r>
      <w:r w:rsidRPr="00E040D1">
        <w:rPr>
          <w:rFonts w:asciiTheme="majorBidi" w:hAnsiTheme="majorBidi" w:cstheme="majorBidi"/>
          <w:sz w:val="24"/>
          <w:szCs w:val="24"/>
          <w:lang w:bidi="en-US"/>
        </w:rPr>
        <w:t>Randa Reda Ahmed</w:t>
      </w:r>
      <w:r w:rsidR="00D36347" w:rsidRPr="00E040D1">
        <w:rPr>
          <w:rFonts w:asciiTheme="majorBidi" w:hAnsiTheme="majorBidi" w:cstheme="majorBidi"/>
          <w:sz w:val="24"/>
          <w:szCs w:val="24"/>
          <w:vertAlign w:val="superscript"/>
          <w:lang w:bidi="en-US"/>
        </w:rPr>
        <w:t>4</w:t>
      </w:r>
      <w:r w:rsidR="00D36347" w:rsidRPr="00E040D1">
        <w:rPr>
          <w:rFonts w:asciiTheme="majorBidi" w:hAnsiTheme="majorBidi" w:cstheme="majorBidi"/>
          <w:sz w:val="24"/>
          <w:szCs w:val="24"/>
          <w:lang w:bidi="en-US"/>
        </w:rPr>
        <w:t>; E-Mail:</w:t>
      </w:r>
      <w:r w:rsidR="001435FD" w:rsidRPr="00E040D1">
        <w:rPr>
          <w:rFonts w:asciiTheme="majorBidi" w:hAnsiTheme="majorBidi" w:cstheme="majorBidi"/>
          <w:sz w:val="24"/>
          <w:szCs w:val="24"/>
          <w:lang w:bidi="en-US"/>
        </w:rPr>
        <w:t>……….Mobile:………………</w:t>
      </w:r>
    </w:p>
    <w:p w14:paraId="3BEBFD05" w14:textId="3F7B3725" w:rsidR="001435FD" w:rsidRPr="00E040D1" w:rsidRDefault="00AA1E4C" w:rsidP="00E040D1">
      <w:pPr>
        <w:pStyle w:val="BodyText"/>
        <w:spacing w:before="198" w:line="276" w:lineRule="auto"/>
        <w:ind w:right="953"/>
        <w:jc w:val="both"/>
        <w:rPr>
          <w:rFonts w:asciiTheme="majorBidi" w:hAnsiTheme="majorBidi" w:cstheme="majorBidi"/>
          <w:b/>
          <w:bCs/>
          <w:sz w:val="24"/>
          <w:szCs w:val="24"/>
          <w:lang w:bidi="en-US"/>
        </w:rPr>
      </w:pPr>
      <w:r w:rsidRPr="00E040D1">
        <w:rPr>
          <w:rFonts w:asciiTheme="majorBidi" w:hAnsiTheme="majorBidi" w:cstheme="majorBidi"/>
          <w:b/>
          <w:bCs/>
          <w:sz w:val="24"/>
          <w:szCs w:val="24"/>
          <w:lang w:bidi="en-US"/>
        </w:rPr>
        <w:t>ABSTRACT</w:t>
      </w:r>
    </w:p>
    <w:p w14:paraId="69113CFD" w14:textId="348C3C6E" w:rsidR="00A32951" w:rsidRPr="00E040D1" w:rsidRDefault="00AA1E4C" w:rsidP="004D2FB8">
      <w:pPr>
        <w:shd w:val="clear" w:color="auto" w:fill="FFFFFF"/>
        <w:spacing w:after="240" w:line="276" w:lineRule="auto"/>
        <w:jc w:val="both"/>
        <w:rPr>
          <w:rFonts w:asciiTheme="majorBidi" w:hAnsiTheme="majorBidi" w:cstheme="majorBidi"/>
          <w:sz w:val="24"/>
          <w:szCs w:val="24"/>
          <w:rtl/>
        </w:rPr>
      </w:pPr>
      <w:r w:rsidRPr="00E040D1">
        <w:rPr>
          <w:rFonts w:asciiTheme="majorBidi" w:hAnsiTheme="majorBidi" w:cstheme="majorBidi"/>
          <w:b/>
          <w:bCs/>
          <w:sz w:val="24"/>
          <w:szCs w:val="24"/>
          <w:lang w:bidi="en-US"/>
        </w:rPr>
        <w:t>BACKGROUND</w:t>
      </w:r>
      <w:r w:rsidRPr="00E040D1">
        <w:rPr>
          <w:rFonts w:asciiTheme="majorBidi" w:hAnsiTheme="majorBidi" w:cstheme="majorBidi"/>
          <w:sz w:val="24"/>
          <w:szCs w:val="24"/>
          <w:lang w:bidi="en-US"/>
        </w:rPr>
        <w:t>:</w:t>
      </w:r>
      <w:r w:rsidR="00AA0866" w:rsidRPr="00E040D1">
        <w:rPr>
          <w:rFonts w:asciiTheme="majorBidi" w:eastAsia="Times New Roman" w:hAnsiTheme="majorBidi" w:cstheme="majorBidi"/>
          <w:sz w:val="24"/>
          <w:szCs w:val="24"/>
        </w:rPr>
        <w:t xml:space="preserve"> </w:t>
      </w:r>
      <w:r w:rsidR="00AA0866" w:rsidRPr="00E040D1">
        <w:rPr>
          <w:rFonts w:asciiTheme="majorBidi" w:hAnsiTheme="majorBidi" w:cstheme="majorBidi"/>
          <w:sz w:val="24"/>
          <w:szCs w:val="24"/>
          <w:lang w:bidi="en-US"/>
        </w:rPr>
        <w:t>Coronaviruses are ribonucleic acid viruses, in humans the viruses may infect the respiratory, gastrointestinal, hepatic, and central nervous systems. Infection with four of the most common coronaviruses strains</w:t>
      </w:r>
      <w:r w:rsidR="0007716B" w:rsidRPr="00E040D1">
        <w:rPr>
          <w:rFonts w:asciiTheme="majorBidi" w:hAnsiTheme="majorBidi" w:cstheme="majorBidi"/>
          <w:sz w:val="24"/>
          <w:szCs w:val="24"/>
          <w:lang w:bidi="en-US"/>
        </w:rPr>
        <w:t xml:space="preserve">. </w:t>
      </w:r>
      <w:r w:rsidR="00AA0866" w:rsidRPr="00E040D1">
        <w:rPr>
          <w:rFonts w:asciiTheme="majorBidi" w:hAnsiTheme="majorBidi" w:cstheme="majorBidi"/>
          <w:sz w:val="24"/>
          <w:szCs w:val="24"/>
          <w:lang w:bidi="en-US"/>
        </w:rPr>
        <w:t>usually lead to mild, self-limiting upper respiratory tract infections However, other corona viruses, are associated with severe acute respiratory syndrome (SARS-CoV) and the Middle East respiratory syndrome (MERS-CoV)</w:t>
      </w:r>
      <w:r w:rsidR="00510014" w:rsidRPr="00E040D1">
        <w:rPr>
          <w:rFonts w:asciiTheme="majorBidi" w:hAnsiTheme="majorBidi" w:cstheme="majorBidi"/>
          <w:sz w:val="24"/>
          <w:szCs w:val="24"/>
          <w:lang w:bidi="en-US"/>
        </w:rPr>
        <w:t xml:space="preserve">. </w:t>
      </w:r>
      <w:r w:rsidR="00510014" w:rsidRPr="00E040D1">
        <w:rPr>
          <w:rFonts w:asciiTheme="majorBidi" w:hAnsiTheme="majorBidi" w:cstheme="majorBidi"/>
          <w:b/>
          <w:bCs/>
          <w:sz w:val="24"/>
          <w:szCs w:val="24"/>
          <w:lang w:bidi="en-US"/>
        </w:rPr>
        <w:t>Aim:</w:t>
      </w:r>
      <w:r w:rsidR="00510014" w:rsidRPr="00E040D1">
        <w:rPr>
          <w:rFonts w:asciiTheme="majorBidi" w:hAnsiTheme="majorBidi" w:cstheme="majorBidi"/>
          <w:sz w:val="24"/>
          <w:szCs w:val="24"/>
          <w:lang w:bidi="en-US"/>
        </w:rPr>
        <w:t xml:space="preserve"> </w:t>
      </w:r>
      <w:r w:rsidR="0020237F" w:rsidRPr="00E040D1">
        <w:rPr>
          <w:rFonts w:asciiTheme="majorBidi" w:eastAsia="Times New Roman" w:hAnsiTheme="majorBidi" w:cstheme="majorBidi"/>
          <w:sz w:val="24"/>
          <w:szCs w:val="24"/>
        </w:rPr>
        <w:t xml:space="preserve">to assess the use of systemic steroid either pulse steroid or regular dose of steroid in patient with severe form </w:t>
      </w:r>
      <w:r w:rsidR="009C7C17" w:rsidRPr="00E040D1">
        <w:rPr>
          <w:rFonts w:asciiTheme="majorBidi" w:eastAsia="Times New Roman" w:hAnsiTheme="majorBidi" w:cstheme="majorBidi"/>
          <w:sz w:val="24"/>
          <w:szCs w:val="24"/>
        </w:rPr>
        <w:t>of covid</w:t>
      </w:r>
      <w:r w:rsidR="0020237F" w:rsidRPr="00E040D1">
        <w:rPr>
          <w:rFonts w:asciiTheme="majorBidi" w:eastAsia="Times New Roman" w:hAnsiTheme="majorBidi" w:cstheme="majorBidi"/>
          <w:sz w:val="24"/>
          <w:szCs w:val="24"/>
        </w:rPr>
        <w:t xml:space="preserve"> 19 as regard hospital </w:t>
      </w:r>
      <w:r w:rsidR="009C7C17" w:rsidRPr="00E040D1">
        <w:rPr>
          <w:rFonts w:asciiTheme="majorBidi" w:eastAsia="Times New Roman" w:hAnsiTheme="majorBidi" w:cstheme="majorBidi"/>
          <w:sz w:val="24"/>
          <w:szCs w:val="24"/>
        </w:rPr>
        <w:t>stay,</w:t>
      </w:r>
      <w:r w:rsidR="0020237F" w:rsidRPr="00E040D1">
        <w:rPr>
          <w:rFonts w:asciiTheme="majorBidi" w:eastAsia="Times New Roman" w:hAnsiTheme="majorBidi" w:cstheme="majorBidi"/>
          <w:sz w:val="24"/>
          <w:szCs w:val="24"/>
        </w:rPr>
        <w:t xml:space="preserve"> need for mechanical ventilation. </w:t>
      </w:r>
      <w:r w:rsidR="009C7C17" w:rsidRPr="00E040D1">
        <w:rPr>
          <w:rFonts w:asciiTheme="majorBidi" w:eastAsia="Times New Roman" w:hAnsiTheme="majorBidi" w:cstheme="majorBidi"/>
          <w:b/>
          <w:bCs/>
          <w:sz w:val="24"/>
          <w:szCs w:val="24"/>
        </w:rPr>
        <w:t>Methods:</w:t>
      </w:r>
      <w:r w:rsidR="009C7C17" w:rsidRPr="00E040D1">
        <w:rPr>
          <w:rFonts w:asciiTheme="majorBidi" w:eastAsia="Times New Roman" w:hAnsiTheme="majorBidi" w:cstheme="majorBidi"/>
          <w:sz w:val="24"/>
          <w:szCs w:val="24"/>
        </w:rPr>
        <w:t xml:space="preserve"> a</w:t>
      </w:r>
      <w:r w:rsidR="00DE1E06" w:rsidRPr="00E040D1">
        <w:rPr>
          <w:rFonts w:asciiTheme="majorBidi" w:eastAsia="Times New Roman" w:hAnsiTheme="majorBidi" w:cstheme="majorBidi"/>
          <w:sz w:val="24"/>
          <w:szCs w:val="24"/>
        </w:rPr>
        <w:t xml:space="preserve"> cross sectional study, carried out on</w:t>
      </w:r>
      <w:r w:rsidR="00F81E8D" w:rsidRPr="00E040D1">
        <w:rPr>
          <w:rFonts w:asciiTheme="majorBidi" w:hAnsiTheme="majorBidi" w:cstheme="majorBidi"/>
          <w:sz w:val="24"/>
          <w:szCs w:val="24"/>
          <w:lang w:bidi="ar-EG"/>
        </w:rPr>
        <w:t xml:space="preserve"> </w:t>
      </w:r>
      <w:r w:rsidR="00F81E8D" w:rsidRPr="00E040D1">
        <w:rPr>
          <w:rFonts w:asciiTheme="majorBidi" w:hAnsiTheme="majorBidi" w:cstheme="majorBidi"/>
          <w:sz w:val="24"/>
          <w:szCs w:val="24"/>
          <w:rtl/>
          <w:lang w:bidi="ar-EG"/>
        </w:rPr>
        <w:t>5</w:t>
      </w:r>
      <w:r w:rsidR="00F81E8D" w:rsidRPr="00E040D1">
        <w:rPr>
          <w:rFonts w:asciiTheme="majorBidi" w:hAnsiTheme="majorBidi" w:cstheme="majorBidi"/>
          <w:sz w:val="24"/>
          <w:szCs w:val="24"/>
          <w:lang w:bidi="ar-EG"/>
        </w:rPr>
        <w:t xml:space="preserve">0 patients who </w:t>
      </w:r>
      <w:r w:rsidR="00DE1E06" w:rsidRPr="00E040D1">
        <w:rPr>
          <w:rFonts w:asciiTheme="majorBidi" w:hAnsiTheme="majorBidi" w:cstheme="majorBidi"/>
          <w:sz w:val="24"/>
          <w:szCs w:val="24"/>
          <w:lang w:bidi="ar-EG"/>
        </w:rPr>
        <w:t>were</w:t>
      </w:r>
      <w:r w:rsidR="00F81E8D" w:rsidRPr="00E040D1">
        <w:rPr>
          <w:rFonts w:asciiTheme="majorBidi" w:hAnsiTheme="majorBidi" w:cstheme="majorBidi"/>
          <w:sz w:val="24"/>
          <w:szCs w:val="24"/>
          <w:lang w:bidi="ar-EG"/>
        </w:rPr>
        <w:t xml:space="preserve"> </w:t>
      </w:r>
      <w:r w:rsidR="009C7C17" w:rsidRPr="00E040D1">
        <w:rPr>
          <w:rFonts w:asciiTheme="majorBidi" w:hAnsiTheme="majorBidi" w:cstheme="majorBidi"/>
          <w:sz w:val="24"/>
          <w:szCs w:val="24"/>
          <w:lang w:bidi="ar-EG"/>
        </w:rPr>
        <w:t>suspected with</w:t>
      </w:r>
      <w:r w:rsidR="00F81E8D" w:rsidRPr="00E040D1">
        <w:rPr>
          <w:rFonts w:asciiTheme="majorBidi" w:hAnsiTheme="majorBidi" w:cstheme="majorBidi"/>
          <w:sz w:val="24"/>
          <w:szCs w:val="24"/>
          <w:lang w:bidi="ar-EG"/>
        </w:rPr>
        <w:t xml:space="preserve"> covid 19 by </w:t>
      </w:r>
      <w:r w:rsidR="009C7C17" w:rsidRPr="00E040D1">
        <w:rPr>
          <w:rFonts w:asciiTheme="majorBidi" w:hAnsiTheme="majorBidi" w:cstheme="majorBidi"/>
          <w:sz w:val="24"/>
          <w:szCs w:val="24"/>
          <w:lang w:bidi="ar-EG"/>
        </w:rPr>
        <w:t>history,</w:t>
      </w:r>
      <w:r w:rsidR="00F81E8D" w:rsidRPr="00E040D1">
        <w:rPr>
          <w:rFonts w:asciiTheme="majorBidi" w:hAnsiTheme="majorBidi" w:cstheme="majorBidi"/>
          <w:sz w:val="24"/>
          <w:szCs w:val="24"/>
          <w:lang w:bidi="ar-EG"/>
        </w:rPr>
        <w:t xml:space="preserve"> laboratory </w:t>
      </w:r>
      <w:r w:rsidR="0007716B" w:rsidRPr="00E040D1">
        <w:rPr>
          <w:rFonts w:asciiTheme="majorBidi" w:hAnsiTheme="majorBidi" w:cstheme="majorBidi"/>
          <w:sz w:val="24"/>
          <w:szCs w:val="24"/>
          <w:lang w:bidi="ar-EG"/>
        </w:rPr>
        <w:t>investigation,</w:t>
      </w:r>
      <w:r w:rsidR="00F81E8D" w:rsidRPr="00E040D1">
        <w:rPr>
          <w:rFonts w:asciiTheme="majorBidi" w:hAnsiTheme="majorBidi" w:cstheme="majorBidi"/>
          <w:sz w:val="24"/>
          <w:szCs w:val="24"/>
          <w:lang w:bidi="ar-EG"/>
        </w:rPr>
        <w:t xml:space="preserve"> chest imaging and confirmed with PCR selected from the critical care unit and isolation critical care unit at Benha university Hospital.</w:t>
      </w:r>
      <w:r w:rsidR="00B57452" w:rsidRPr="00E040D1">
        <w:rPr>
          <w:rFonts w:asciiTheme="majorBidi" w:hAnsiTheme="majorBidi" w:cstheme="majorBidi"/>
          <w:sz w:val="24"/>
          <w:szCs w:val="24"/>
          <w:lang w:bidi="ar-EG"/>
        </w:rPr>
        <w:t xml:space="preserve"> And were</w:t>
      </w:r>
      <w:r w:rsidR="00F81E8D" w:rsidRPr="00E040D1">
        <w:rPr>
          <w:rFonts w:asciiTheme="majorBidi" w:hAnsiTheme="majorBidi" w:cstheme="majorBidi"/>
          <w:sz w:val="24"/>
          <w:szCs w:val="24"/>
          <w:lang w:bidi="ar-EG"/>
        </w:rPr>
        <w:t xml:space="preserve"> classified into two groups</w:t>
      </w:r>
      <w:r w:rsidR="00B57452" w:rsidRPr="00E040D1">
        <w:rPr>
          <w:rFonts w:asciiTheme="majorBidi" w:hAnsiTheme="majorBidi" w:cstheme="majorBidi"/>
          <w:sz w:val="24"/>
          <w:szCs w:val="24"/>
          <w:lang w:bidi="ar-EG"/>
        </w:rPr>
        <w:t xml:space="preserve">, </w:t>
      </w:r>
      <w:r w:rsidR="00F81E8D" w:rsidRPr="00E040D1">
        <w:rPr>
          <w:rFonts w:asciiTheme="majorBidi" w:hAnsiTheme="majorBidi" w:cstheme="majorBidi"/>
          <w:sz w:val="24"/>
          <w:szCs w:val="24"/>
          <w:lang w:bidi="ar-EG"/>
        </w:rPr>
        <w:t>Group1: 25 patients</w:t>
      </w:r>
      <w:r w:rsidR="009C7C17" w:rsidRPr="00E040D1">
        <w:rPr>
          <w:rFonts w:asciiTheme="majorBidi" w:hAnsiTheme="majorBidi" w:cstheme="majorBidi"/>
          <w:sz w:val="24"/>
          <w:szCs w:val="24"/>
          <w:lang w:bidi="ar-EG"/>
        </w:rPr>
        <w:t xml:space="preserve"> were </w:t>
      </w:r>
      <w:r w:rsidR="00F81E8D" w:rsidRPr="00E040D1">
        <w:rPr>
          <w:rFonts w:asciiTheme="majorBidi" w:hAnsiTheme="majorBidi" w:cstheme="majorBidi"/>
          <w:sz w:val="24"/>
          <w:szCs w:val="24"/>
          <w:lang w:bidi="ar-EG"/>
        </w:rPr>
        <w:t>receive</w:t>
      </w:r>
      <w:r w:rsidR="009C7C17" w:rsidRPr="00E040D1">
        <w:rPr>
          <w:rFonts w:asciiTheme="majorBidi" w:hAnsiTheme="majorBidi" w:cstheme="majorBidi"/>
          <w:sz w:val="24"/>
          <w:szCs w:val="24"/>
          <w:lang w:bidi="ar-EG"/>
        </w:rPr>
        <w:t xml:space="preserve">d </w:t>
      </w:r>
      <w:r w:rsidR="00F81E8D" w:rsidRPr="00E040D1">
        <w:rPr>
          <w:rFonts w:asciiTheme="majorBidi" w:hAnsiTheme="majorBidi" w:cstheme="majorBidi"/>
          <w:sz w:val="24"/>
          <w:szCs w:val="24"/>
          <w:lang w:bidi="ar-EG"/>
        </w:rPr>
        <w:t>dexamethasone (8 mg per day)</w:t>
      </w:r>
      <w:r w:rsidR="00B57452" w:rsidRPr="00E040D1">
        <w:rPr>
          <w:rFonts w:asciiTheme="majorBidi" w:hAnsiTheme="majorBidi" w:cstheme="majorBidi"/>
          <w:sz w:val="24"/>
          <w:szCs w:val="24"/>
          <w:lang w:bidi="ar-EG"/>
        </w:rPr>
        <w:t xml:space="preserve"> and </w:t>
      </w:r>
      <w:r w:rsidR="00F81E8D" w:rsidRPr="00E040D1">
        <w:rPr>
          <w:rFonts w:asciiTheme="majorBidi" w:hAnsiTheme="majorBidi" w:cstheme="majorBidi"/>
          <w:sz w:val="24"/>
          <w:szCs w:val="24"/>
          <w:lang w:bidi="ar-EG"/>
        </w:rPr>
        <w:t>Group 2:  25 patients</w:t>
      </w:r>
      <w:r w:rsidR="00BA731B" w:rsidRPr="00E040D1">
        <w:rPr>
          <w:rFonts w:asciiTheme="majorBidi" w:hAnsiTheme="majorBidi" w:cstheme="majorBidi"/>
          <w:sz w:val="24"/>
          <w:szCs w:val="24"/>
          <w:lang w:bidi="ar-EG"/>
        </w:rPr>
        <w:t xml:space="preserve"> </w:t>
      </w:r>
      <w:r w:rsidR="009C7C17" w:rsidRPr="00E040D1">
        <w:rPr>
          <w:rFonts w:asciiTheme="majorBidi" w:hAnsiTheme="majorBidi" w:cstheme="majorBidi"/>
          <w:sz w:val="24"/>
          <w:szCs w:val="24"/>
          <w:lang w:bidi="ar-EG"/>
        </w:rPr>
        <w:t>were</w:t>
      </w:r>
      <w:r w:rsidR="00F81E8D" w:rsidRPr="00E040D1">
        <w:rPr>
          <w:rFonts w:asciiTheme="majorBidi" w:hAnsiTheme="majorBidi" w:cstheme="majorBidi"/>
          <w:sz w:val="24"/>
          <w:szCs w:val="24"/>
          <w:lang w:bidi="ar-EG"/>
        </w:rPr>
        <w:t xml:space="preserve"> </w:t>
      </w:r>
      <w:r w:rsidR="009C7C17" w:rsidRPr="00E040D1">
        <w:rPr>
          <w:rFonts w:asciiTheme="majorBidi" w:hAnsiTheme="majorBidi" w:cstheme="majorBidi"/>
          <w:sz w:val="24"/>
          <w:szCs w:val="24"/>
          <w:lang w:bidi="ar-EG"/>
        </w:rPr>
        <w:t>received solumedrol</w:t>
      </w:r>
      <w:r w:rsidR="00F81E8D" w:rsidRPr="00E040D1">
        <w:rPr>
          <w:rFonts w:asciiTheme="majorBidi" w:hAnsiTheme="majorBidi" w:cstheme="majorBidi"/>
          <w:sz w:val="24"/>
          <w:szCs w:val="24"/>
          <w:lang w:bidi="ar-EG"/>
        </w:rPr>
        <w:t xml:space="preserve"> (2mg per Kg)</w:t>
      </w:r>
      <w:r w:rsidR="00BA731B" w:rsidRPr="00E040D1">
        <w:rPr>
          <w:rFonts w:asciiTheme="majorBidi" w:hAnsiTheme="majorBidi" w:cstheme="majorBidi"/>
          <w:sz w:val="24"/>
          <w:szCs w:val="24"/>
          <w:lang w:bidi="ar-EG"/>
        </w:rPr>
        <w:t xml:space="preserve">. All data will be tabulated and </w:t>
      </w:r>
      <w:r w:rsidR="009C7C17" w:rsidRPr="00E040D1">
        <w:rPr>
          <w:rFonts w:asciiTheme="majorBidi" w:hAnsiTheme="majorBidi" w:cstheme="majorBidi"/>
          <w:sz w:val="24"/>
          <w:szCs w:val="24"/>
          <w:lang w:bidi="ar-EG"/>
        </w:rPr>
        <w:t>statistically</w:t>
      </w:r>
      <w:r w:rsidR="00BA731B" w:rsidRPr="00E040D1">
        <w:rPr>
          <w:rFonts w:asciiTheme="majorBidi" w:hAnsiTheme="majorBidi" w:cstheme="majorBidi"/>
          <w:sz w:val="24"/>
          <w:szCs w:val="24"/>
          <w:lang w:bidi="ar-EG"/>
        </w:rPr>
        <w:t xml:space="preserve"> </w:t>
      </w:r>
      <w:r w:rsidR="009C7C17" w:rsidRPr="00E040D1">
        <w:rPr>
          <w:rFonts w:asciiTheme="majorBidi" w:hAnsiTheme="majorBidi" w:cstheme="majorBidi"/>
          <w:sz w:val="24"/>
          <w:szCs w:val="24"/>
          <w:lang w:bidi="ar-EG"/>
        </w:rPr>
        <w:t xml:space="preserve">analyzed. </w:t>
      </w:r>
      <w:r w:rsidR="00803026" w:rsidRPr="00E040D1">
        <w:rPr>
          <w:rFonts w:asciiTheme="majorBidi" w:hAnsiTheme="majorBidi" w:cstheme="majorBidi"/>
          <w:b/>
          <w:bCs/>
          <w:sz w:val="24"/>
          <w:szCs w:val="24"/>
          <w:lang w:bidi="ar-EG"/>
        </w:rPr>
        <w:t>Results</w:t>
      </w:r>
      <w:r w:rsidR="00803026" w:rsidRPr="00E040D1">
        <w:rPr>
          <w:rFonts w:asciiTheme="majorBidi" w:hAnsiTheme="majorBidi" w:cstheme="majorBidi"/>
          <w:sz w:val="24"/>
          <w:szCs w:val="24"/>
          <w:lang w:bidi="ar-EG"/>
        </w:rPr>
        <w:t>:</w:t>
      </w:r>
      <w:r w:rsidR="006D2210" w:rsidRPr="00E040D1">
        <w:rPr>
          <w:rFonts w:asciiTheme="majorBidi" w:hAnsiTheme="majorBidi" w:cstheme="majorBidi"/>
          <w:sz w:val="24"/>
          <w:szCs w:val="24"/>
          <w:lang w:bidi="ar-EG"/>
        </w:rPr>
        <w:t xml:space="preserve"> </w:t>
      </w:r>
      <w:r w:rsidR="00033209" w:rsidRPr="00E040D1">
        <w:rPr>
          <w:rFonts w:asciiTheme="majorBidi" w:hAnsiTheme="majorBidi" w:cstheme="majorBidi"/>
          <w:sz w:val="24"/>
          <w:szCs w:val="24"/>
        </w:rPr>
        <w:t>the mean</w:t>
      </w:r>
      <w:bookmarkStart w:id="1" w:name="_Hlk94997961"/>
      <w:r w:rsidR="00033209" w:rsidRPr="00E040D1">
        <w:rPr>
          <w:rFonts w:asciiTheme="majorBidi" w:hAnsiTheme="majorBidi" w:cstheme="majorBidi"/>
          <w:sz w:val="24"/>
          <w:szCs w:val="24"/>
        </w:rPr>
        <w:t xml:space="preserve"> ICU length of stay in critically i</w:t>
      </w:r>
      <w:bookmarkEnd w:id="1"/>
      <w:r w:rsidR="00033209" w:rsidRPr="00E040D1">
        <w:rPr>
          <w:rFonts w:asciiTheme="majorBidi" w:hAnsiTheme="majorBidi" w:cstheme="majorBidi"/>
          <w:sz w:val="24"/>
          <w:szCs w:val="24"/>
        </w:rPr>
        <w:t xml:space="preserve">ll patients who received </w:t>
      </w:r>
      <w:bookmarkStart w:id="2" w:name="_Hlk94997703"/>
      <w:r w:rsidR="00033209" w:rsidRPr="00E040D1">
        <w:rPr>
          <w:rFonts w:asciiTheme="majorBidi" w:hAnsiTheme="majorBidi" w:cstheme="majorBidi"/>
          <w:sz w:val="24"/>
          <w:szCs w:val="24"/>
        </w:rPr>
        <w:t xml:space="preserve">Dexamethasone </w:t>
      </w:r>
      <w:bookmarkEnd w:id="2"/>
      <w:r w:rsidR="00033209" w:rsidRPr="00E040D1">
        <w:rPr>
          <w:rFonts w:asciiTheme="majorBidi" w:hAnsiTheme="majorBidi" w:cstheme="majorBidi"/>
          <w:sz w:val="24"/>
          <w:szCs w:val="24"/>
        </w:rPr>
        <w:t xml:space="preserve">was 12.5±4.286 versus 14.68±7.851 in critically ill patients who received </w:t>
      </w:r>
      <w:r w:rsidR="00CE034A" w:rsidRPr="00E040D1">
        <w:rPr>
          <w:rFonts w:asciiTheme="majorBidi" w:hAnsiTheme="majorBidi" w:cstheme="majorBidi"/>
          <w:sz w:val="24"/>
          <w:szCs w:val="24"/>
        </w:rPr>
        <w:t>Methylprednisolone</w:t>
      </w:r>
      <w:r w:rsidR="00033209" w:rsidRPr="00E040D1">
        <w:rPr>
          <w:rFonts w:asciiTheme="majorBidi" w:hAnsiTheme="majorBidi" w:cstheme="majorBidi"/>
          <w:sz w:val="24"/>
          <w:szCs w:val="24"/>
        </w:rPr>
        <w:t xml:space="preserve"> </w:t>
      </w:r>
      <w:r w:rsidR="006D2210" w:rsidRPr="00E040D1">
        <w:rPr>
          <w:rFonts w:asciiTheme="majorBidi" w:hAnsiTheme="majorBidi" w:cstheme="majorBidi"/>
          <w:sz w:val="24"/>
          <w:szCs w:val="24"/>
        </w:rPr>
        <w:t>(p-value=0.08)</w:t>
      </w:r>
      <w:r w:rsidR="002C2D0A" w:rsidRPr="00E040D1">
        <w:rPr>
          <w:rFonts w:asciiTheme="majorBidi" w:hAnsiTheme="majorBidi" w:cstheme="majorBidi"/>
          <w:sz w:val="24"/>
          <w:szCs w:val="24"/>
        </w:rPr>
        <w:t>.</w:t>
      </w:r>
      <w:r w:rsidR="006D2210" w:rsidRPr="00E040D1">
        <w:rPr>
          <w:rFonts w:asciiTheme="majorBidi" w:hAnsiTheme="majorBidi" w:cstheme="majorBidi"/>
          <w:sz w:val="24"/>
          <w:szCs w:val="24"/>
        </w:rPr>
        <w:t xml:space="preserve"> </w:t>
      </w:r>
      <w:r w:rsidR="002C2D0A" w:rsidRPr="00E040D1">
        <w:rPr>
          <w:rFonts w:asciiTheme="majorBidi" w:hAnsiTheme="majorBidi" w:cstheme="majorBidi"/>
          <w:sz w:val="24"/>
          <w:szCs w:val="24"/>
        </w:rPr>
        <w:t xml:space="preserve"> </w:t>
      </w:r>
      <w:r w:rsidR="0012648B" w:rsidRPr="00E040D1">
        <w:rPr>
          <w:rFonts w:asciiTheme="majorBidi" w:hAnsiTheme="majorBidi" w:cstheme="majorBidi"/>
          <w:sz w:val="24"/>
          <w:szCs w:val="24"/>
        </w:rPr>
        <w:t xml:space="preserve">Patients in </w:t>
      </w:r>
      <w:r w:rsidR="001D356B" w:rsidRPr="00E040D1">
        <w:rPr>
          <w:rFonts w:asciiTheme="majorBidi" w:hAnsiTheme="majorBidi" w:cstheme="majorBidi"/>
          <w:sz w:val="24"/>
          <w:szCs w:val="24"/>
        </w:rPr>
        <w:t xml:space="preserve">Dexamethasone </w:t>
      </w:r>
      <w:r w:rsidR="0012648B" w:rsidRPr="00E040D1">
        <w:rPr>
          <w:rFonts w:asciiTheme="majorBidi" w:hAnsiTheme="majorBidi" w:cstheme="majorBidi"/>
          <w:sz w:val="24"/>
          <w:szCs w:val="24"/>
        </w:rPr>
        <w:t>group</w:t>
      </w:r>
      <w:r w:rsidR="001D356B" w:rsidRPr="00E040D1">
        <w:rPr>
          <w:rFonts w:asciiTheme="majorBidi" w:hAnsiTheme="majorBidi" w:cstheme="majorBidi"/>
          <w:sz w:val="24"/>
          <w:szCs w:val="24"/>
        </w:rPr>
        <w:t>, by the 10th day,</w:t>
      </w:r>
      <w:r w:rsidR="0012648B" w:rsidRPr="00E040D1">
        <w:rPr>
          <w:rFonts w:asciiTheme="majorBidi" w:hAnsiTheme="majorBidi" w:cstheme="majorBidi"/>
          <w:sz w:val="24"/>
          <w:szCs w:val="24"/>
        </w:rPr>
        <w:t xml:space="preserve"> had a significantly better </w:t>
      </w:r>
      <w:r w:rsidR="001D356B" w:rsidRPr="00E040D1">
        <w:rPr>
          <w:rFonts w:asciiTheme="majorBidi" w:hAnsiTheme="majorBidi" w:cstheme="majorBidi"/>
          <w:sz w:val="24"/>
          <w:szCs w:val="24"/>
        </w:rPr>
        <w:t>D dimer (1153.04±725.34 vs 1633.12±1244.8, p=0.020), ferritin, (899.14±344.22</w:t>
      </w:r>
      <w:r w:rsidR="00E040D1">
        <w:rPr>
          <w:rFonts w:asciiTheme="majorBidi" w:hAnsiTheme="majorBidi" w:cstheme="majorBidi"/>
          <w:sz w:val="24"/>
          <w:szCs w:val="24"/>
        </w:rPr>
        <w:t xml:space="preserve"> vs </w:t>
      </w:r>
      <w:r w:rsidR="001D356B" w:rsidRPr="00E040D1">
        <w:rPr>
          <w:rFonts w:asciiTheme="majorBidi" w:hAnsiTheme="majorBidi" w:cstheme="majorBidi"/>
          <w:sz w:val="24"/>
          <w:szCs w:val="24"/>
        </w:rPr>
        <w:t>1523.8±994.44, p&lt;0.001), NLR (3.108±0.430 vs 3.506±0.536, p&lt;0.001)</w:t>
      </w:r>
      <w:r w:rsidR="004D2FB8">
        <w:rPr>
          <w:rFonts w:asciiTheme="majorBidi" w:hAnsiTheme="majorBidi" w:cstheme="majorBidi"/>
          <w:sz w:val="24"/>
          <w:szCs w:val="24"/>
        </w:rPr>
        <w:t>, however, Methyl prednisolone group had lower mortality rate (p0.001).</w:t>
      </w:r>
      <w:r w:rsidR="00C00EC4" w:rsidRPr="00E040D1">
        <w:rPr>
          <w:rFonts w:asciiTheme="majorBidi" w:hAnsiTheme="majorBidi" w:cstheme="majorBidi"/>
          <w:sz w:val="24"/>
          <w:szCs w:val="24"/>
        </w:rPr>
        <w:t xml:space="preserve"> </w:t>
      </w:r>
      <w:r w:rsidR="00AE096A" w:rsidRPr="00E040D1">
        <w:rPr>
          <w:rFonts w:asciiTheme="majorBidi" w:hAnsiTheme="majorBidi" w:cstheme="majorBidi"/>
          <w:b/>
          <w:bCs/>
          <w:sz w:val="24"/>
          <w:szCs w:val="24"/>
        </w:rPr>
        <w:t>Conclusion</w:t>
      </w:r>
      <w:r w:rsidR="00A32951" w:rsidRPr="00E040D1">
        <w:rPr>
          <w:rFonts w:asciiTheme="majorBidi" w:hAnsiTheme="majorBidi" w:cstheme="majorBidi"/>
          <w:sz w:val="24"/>
          <w:szCs w:val="24"/>
        </w:rPr>
        <w:t xml:space="preserve"> </w:t>
      </w:r>
      <w:r w:rsidR="004D2FB8">
        <w:rPr>
          <w:rFonts w:asciiTheme="majorBidi" w:hAnsiTheme="majorBidi" w:cstheme="majorBidi"/>
          <w:sz w:val="24"/>
          <w:szCs w:val="24"/>
        </w:rPr>
        <w:t>Covid 19 is global pandemic</w:t>
      </w:r>
      <w:r w:rsidR="00A32951" w:rsidRPr="00E040D1">
        <w:rPr>
          <w:rFonts w:asciiTheme="majorBidi" w:hAnsiTheme="majorBidi" w:cstheme="majorBidi"/>
          <w:sz w:val="24"/>
          <w:szCs w:val="24"/>
        </w:rPr>
        <w:t xml:space="preserve"> with worldwide mortality rate that need urgent interventions from all world to face this catastrophe</w:t>
      </w:r>
      <w:r w:rsidR="004D2FB8">
        <w:rPr>
          <w:rFonts w:asciiTheme="majorBidi" w:hAnsiTheme="majorBidi" w:cstheme="majorBidi"/>
          <w:sz w:val="24"/>
          <w:szCs w:val="24"/>
        </w:rPr>
        <w:t>.</w:t>
      </w:r>
      <w:r w:rsidR="00A32951" w:rsidRPr="00E040D1">
        <w:rPr>
          <w:rFonts w:asciiTheme="majorBidi" w:hAnsiTheme="majorBidi" w:cstheme="majorBidi"/>
          <w:sz w:val="24"/>
          <w:szCs w:val="24"/>
        </w:rPr>
        <w:t xml:space="preserve"> </w:t>
      </w:r>
      <w:r w:rsidR="004D2FB8">
        <w:rPr>
          <w:rFonts w:asciiTheme="majorBidi" w:hAnsiTheme="majorBidi" w:cstheme="majorBidi"/>
          <w:sz w:val="24"/>
          <w:szCs w:val="24"/>
        </w:rPr>
        <w:t>However,</w:t>
      </w:r>
      <w:r w:rsidR="00A32951" w:rsidRPr="00E040D1">
        <w:rPr>
          <w:rFonts w:asciiTheme="majorBidi" w:hAnsiTheme="majorBidi" w:cstheme="majorBidi"/>
          <w:sz w:val="24"/>
          <w:szCs w:val="24"/>
        </w:rPr>
        <w:t xml:space="preserve"> ICU stay, d dimer, ferritin, NLR among patients who treated with Dexamethasone lower than among patients who treated with Methylprednisolone</w:t>
      </w:r>
      <w:r w:rsidR="004D2FB8">
        <w:rPr>
          <w:rFonts w:asciiTheme="majorBidi" w:hAnsiTheme="majorBidi" w:cstheme="majorBidi"/>
          <w:sz w:val="24"/>
          <w:szCs w:val="24"/>
        </w:rPr>
        <w:t xml:space="preserve">, those treated with </w:t>
      </w:r>
      <w:r w:rsidR="004D2FB8" w:rsidRPr="00E040D1">
        <w:rPr>
          <w:rFonts w:asciiTheme="majorBidi" w:hAnsiTheme="majorBidi" w:cstheme="majorBidi"/>
          <w:sz w:val="24"/>
          <w:szCs w:val="24"/>
        </w:rPr>
        <w:t>Methylprednisolone</w:t>
      </w:r>
      <w:r w:rsidR="004D2FB8">
        <w:rPr>
          <w:rFonts w:asciiTheme="majorBidi" w:hAnsiTheme="majorBidi" w:cstheme="majorBidi"/>
          <w:sz w:val="24"/>
          <w:szCs w:val="24"/>
        </w:rPr>
        <w:t xml:space="preserve"> had better mortality rates</w:t>
      </w:r>
      <w:r w:rsidR="00A32951" w:rsidRPr="00E040D1">
        <w:rPr>
          <w:rFonts w:asciiTheme="majorBidi" w:hAnsiTheme="majorBidi" w:cstheme="majorBidi"/>
          <w:sz w:val="24"/>
          <w:szCs w:val="24"/>
        </w:rPr>
        <w:t xml:space="preserve">. </w:t>
      </w:r>
    </w:p>
    <w:p w14:paraId="3B58A240" w14:textId="555DA75A" w:rsidR="00CC3A77" w:rsidRPr="00E040D1" w:rsidRDefault="00CC3A77" w:rsidP="00E040D1">
      <w:pPr>
        <w:shd w:val="clear" w:color="auto" w:fill="FFFFFF"/>
        <w:spacing w:after="240" w:line="276" w:lineRule="auto"/>
        <w:jc w:val="both"/>
        <w:rPr>
          <w:rFonts w:asciiTheme="majorBidi" w:hAnsiTheme="majorBidi" w:cstheme="majorBidi"/>
          <w:b/>
          <w:bCs/>
          <w:sz w:val="24"/>
          <w:szCs w:val="24"/>
        </w:rPr>
      </w:pPr>
      <w:r w:rsidRPr="00E040D1">
        <w:rPr>
          <w:rFonts w:asciiTheme="majorBidi" w:hAnsiTheme="majorBidi" w:cstheme="majorBidi"/>
          <w:b/>
          <w:bCs/>
          <w:sz w:val="24"/>
          <w:szCs w:val="24"/>
        </w:rPr>
        <w:t xml:space="preserve">Key words: </w:t>
      </w:r>
      <w:r w:rsidRPr="00E040D1">
        <w:rPr>
          <w:rFonts w:asciiTheme="majorBidi" w:hAnsiTheme="majorBidi" w:cstheme="majorBidi"/>
          <w:sz w:val="24"/>
          <w:szCs w:val="24"/>
        </w:rPr>
        <w:t>Covid 19, pandemics, SARS viruses, ARDS, Corticosteroids</w:t>
      </w:r>
      <w:r w:rsidRPr="00E040D1">
        <w:rPr>
          <w:rFonts w:asciiTheme="majorBidi" w:hAnsiTheme="majorBidi" w:cstheme="majorBidi"/>
          <w:b/>
          <w:bCs/>
          <w:sz w:val="24"/>
          <w:szCs w:val="24"/>
        </w:rPr>
        <w:t>.</w:t>
      </w:r>
    </w:p>
    <w:p w14:paraId="45E9F30B" w14:textId="77777777" w:rsidR="00AB14AA" w:rsidRPr="00E040D1" w:rsidRDefault="00AB14AA" w:rsidP="00E040D1">
      <w:pPr>
        <w:pStyle w:val="BodyText"/>
        <w:spacing w:before="198" w:line="276" w:lineRule="auto"/>
        <w:ind w:right="953"/>
        <w:jc w:val="both"/>
        <w:rPr>
          <w:rFonts w:asciiTheme="majorBidi" w:hAnsiTheme="majorBidi" w:cstheme="majorBidi"/>
          <w:sz w:val="24"/>
          <w:szCs w:val="24"/>
        </w:rPr>
        <w:sectPr w:rsidR="00AB14AA" w:rsidRPr="00E040D1">
          <w:pgSz w:w="12240" w:h="15840"/>
          <w:pgMar w:top="1440" w:right="1440" w:bottom="1440" w:left="1440" w:header="720" w:footer="720" w:gutter="0"/>
          <w:cols w:space="720"/>
          <w:docGrid w:linePitch="360"/>
        </w:sectPr>
      </w:pPr>
    </w:p>
    <w:p w14:paraId="74FF5005" w14:textId="72446BD6" w:rsidR="00AA1E4C" w:rsidRPr="00E040D1" w:rsidRDefault="00037C6A" w:rsidP="00E040D1">
      <w:pPr>
        <w:pStyle w:val="BodyText"/>
        <w:spacing w:before="198" w:line="276" w:lineRule="auto"/>
        <w:ind w:right="953"/>
        <w:jc w:val="both"/>
        <w:rPr>
          <w:rFonts w:asciiTheme="majorBidi" w:hAnsiTheme="majorBidi" w:cstheme="majorBidi"/>
          <w:b/>
          <w:bCs/>
          <w:sz w:val="24"/>
          <w:szCs w:val="24"/>
        </w:rPr>
      </w:pPr>
      <w:r w:rsidRPr="00E040D1">
        <w:rPr>
          <w:rFonts w:asciiTheme="majorBidi" w:hAnsiTheme="majorBidi" w:cstheme="majorBidi"/>
          <w:b/>
          <w:bCs/>
          <w:sz w:val="24"/>
          <w:szCs w:val="24"/>
        </w:rPr>
        <w:lastRenderedPageBreak/>
        <w:t>INTRODUCTION</w:t>
      </w:r>
    </w:p>
    <w:p w14:paraId="309C83FD" w14:textId="77777777" w:rsidR="00097C38" w:rsidRPr="00E040D1" w:rsidRDefault="00097C38" w:rsidP="00E040D1">
      <w:pPr>
        <w:spacing w:before="240" w:after="240" w:line="276" w:lineRule="auto"/>
        <w:jc w:val="both"/>
        <w:rPr>
          <w:rFonts w:asciiTheme="majorBidi" w:hAnsiTheme="majorBidi" w:cstheme="majorBidi"/>
          <w:sz w:val="24"/>
          <w:szCs w:val="24"/>
          <w:shd w:val="clear" w:color="auto" w:fill="FFFFFF"/>
        </w:rPr>
        <w:sectPr w:rsidR="00097C38" w:rsidRPr="00E040D1" w:rsidSect="00B7496A">
          <w:type w:val="continuous"/>
          <w:pgSz w:w="12240" w:h="15840"/>
          <w:pgMar w:top="1440" w:right="1440" w:bottom="1440" w:left="1440" w:header="720" w:footer="720" w:gutter="0"/>
          <w:cols w:num="2" w:space="720"/>
          <w:docGrid w:linePitch="360"/>
        </w:sectPr>
      </w:pPr>
    </w:p>
    <w:p w14:paraId="407CEDD6" w14:textId="391F033F" w:rsidR="00A24326" w:rsidRPr="00E040D1" w:rsidRDefault="00A24326" w:rsidP="00E040D1">
      <w:pPr>
        <w:spacing w:before="240" w:after="240" w:line="276" w:lineRule="auto"/>
        <w:jc w:val="both"/>
        <w:rPr>
          <w:rFonts w:asciiTheme="majorBidi" w:hAnsiTheme="majorBidi" w:cstheme="majorBidi"/>
          <w:sz w:val="24"/>
          <w:szCs w:val="24"/>
          <w:shd w:val="clear" w:color="auto" w:fill="FFFFFF"/>
        </w:rPr>
      </w:pPr>
      <w:r w:rsidRPr="00E040D1">
        <w:rPr>
          <w:rFonts w:asciiTheme="majorBidi" w:hAnsiTheme="majorBidi" w:cstheme="majorBidi"/>
          <w:sz w:val="24"/>
          <w:szCs w:val="24"/>
          <w:shd w:val="clear" w:color="auto" w:fill="FFFFFF"/>
        </w:rPr>
        <w:lastRenderedPageBreak/>
        <w:t xml:space="preserve">Coronavirus disease 2019 (COVID-19), a highly contagious viral illness caused by severe acute respiratory syndrome coronavirus 2 (SARS-CoV-2), resulting in </w:t>
      </w:r>
      <w:r w:rsidRPr="00E040D1">
        <w:rPr>
          <w:rFonts w:asciiTheme="majorBidi" w:hAnsiTheme="majorBidi" w:cstheme="majorBidi"/>
          <w:sz w:val="24"/>
          <w:szCs w:val="24"/>
          <w:shd w:val="clear" w:color="auto" w:fill="FFFFFF"/>
        </w:rPr>
        <w:lastRenderedPageBreak/>
        <w:t>more than 3.8 million deaths worldwide</w:t>
      </w:r>
      <w:r w:rsidR="0003351A" w:rsidRPr="00E040D1">
        <w:rPr>
          <w:rFonts w:asciiTheme="majorBidi" w:hAnsiTheme="majorBidi" w:cstheme="majorBidi"/>
          <w:b/>
          <w:bCs/>
          <w:sz w:val="24"/>
          <w:szCs w:val="24"/>
          <w:shd w:val="clear" w:color="auto" w:fill="FFFFFF"/>
        </w:rPr>
        <w:t xml:space="preserve"> (1)</w:t>
      </w:r>
      <w:r w:rsidR="00950EB5" w:rsidRPr="00E040D1">
        <w:rPr>
          <w:rFonts w:asciiTheme="majorBidi" w:hAnsiTheme="majorBidi" w:cstheme="majorBidi"/>
          <w:sz w:val="24"/>
          <w:szCs w:val="24"/>
          <w:shd w:val="clear" w:color="auto" w:fill="FFFFFF"/>
        </w:rPr>
        <w:t xml:space="preserve"> </w:t>
      </w:r>
      <w:r w:rsidRPr="00E040D1">
        <w:rPr>
          <w:rFonts w:asciiTheme="majorBidi" w:hAnsiTheme="majorBidi" w:cstheme="majorBidi"/>
          <w:sz w:val="24"/>
          <w:szCs w:val="24"/>
          <w:shd w:val="clear" w:color="auto" w:fill="FFFFFF"/>
        </w:rPr>
        <w:t xml:space="preserve">(CoVs) have been associated with significant disease outbreaks in East Asia and the Middle East. The severe acute respiratory syndrome </w:t>
      </w:r>
      <w:r w:rsidRPr="00E040D1">
        <w:rPr>
          <w:rFonts w:asciiTheme="majorBidi" w:hAnsiTheme="majorBidi" w:cstheme="majorBidi"/>
          <w:sz w:val="24"/>
          <w:szCs w:val="24"/>
          <w:shd w:val="clear" w:color="auto" w:fill="FFFFFF"/>
        </w:rPr>
        <w:lastRenderedPageBreak/>
        <w:t>(SARS) and the Middle East respiratory syndrome (MERS) began to emerge in 2002 and 2012</w:t>
      </w:r>
      <w:r w:rsidRPr="00E040D1">
        <w:rPr>
          <w:rFonts w:asciiTheme="majorBidi" w:hAnsiTheme="majorBidi" w:cstheme="majorBidi"/>
          <w:b/>
          <w:bCs/>
          <w:sz w:val="24"/>
          <w:szCs w:val="24"/>
          <w:shd w:val="clear" w:color="auto" w:fill="FFFFFF"/>
        </w:rPr>
        <w:t xml:space="preserve"> </w:t>
      </w:r>
      <w:r w:rsidRPr="00E040D1">
        <w:rPr>
          <w:rFonts w:asciiTheme="majorBidi" w:hAnsiTheme="majorBidi" w:cstheme="majorBidi"/>
          <w:sz w:val="24"/>
          <w:szCs w:val="24"/>
          <w:shd w:val="clear" w:color="auto" w:fill="FFFFFF"/>
        </w:rPr>
        <w:t xml:space="preserve">with mortality rates up to 10% and 35%, respectively. </w:t>
      </w:r>
      <w:r w:rsidR="006429EA" w:rsidRPr="00E040D1">
        <w:rPr>
          <w:rFonts w:asciiTheme="majorBidi" w:hAnsiTheme="majorBidi" w:cstheme="majorBidi"/>
          <w:sz w:val="24"/>
          <w:szCs w:val="24"/>
          <w:shd w:val="clear" w:color="auto" w:fill="FFFFFF"/>
        </w:rPr>
        <w:t>A</w:t>
      </w:r>
      <w:r w:rsidRPr="00E040D1">
        <w:rPr>
          <w:rFonts w:asciiTheme="majorBidi" w:hAnsiTheme="majorBidi" w:cstheme="majorBidi"/>
          <w:sz w:val="24"/>
          <w:szCs w:val="24"/>
          <w:shd w:val="clear" w:color="auto" w:fill="FFFFFF"/>
        </w:rPr>
        <w:t xml:space="preserve"> novel coronavirus, (SARS-CoV-2), causing COVID-19, emerged in late March 2019 </w:t>
      </w:r>
      <w:r w:rsidR="00701094" w:rsidRPr="00E040D1">
        <w:rPr>
          <w:rFonts w:asciiTheme="majorBidi" w:hAnsiTheme="majorBidi" w:cstheme="majorBidi"/>
          <w:b/>
          <w:bCs/>
          <w:sz w:val="24"/>
          <w:szCs w:val="24"/>
          <w:shd w:val="clear" w:color="auto" w:fill="FFFFFF"/>
        </w:rPr>
        <w:t>(2</w:t>
      </w:r>
      <w:r w:rsidRPr="00E040D1">
        <w:rPr>
          <w:rFonts w:asciiTheme="majorBidi" w:hAnsiTheme="majorBidi" w:cstheme="majorBidi"/>
          <w:b/>
          <w:bCs/>
          <w:sz w:val="24"/>
          <w:szCs w:val="24"/>
          <w:shd w:val="clear" w:color="auto" w:fill="FFFFFF"/>
        </w:rPr>
        <w:t>).</w:t>
      </w:r>
      <w:r w:rsidR="00950EB5" w:rsidRPr="00E040D1">
        <w:rPr>
          <w:rFonts w:asciiTheme="majorBidi" w:hAnsiTheme="majorBidi" w:cstheme="majorBidi"/>
          <w:b/>
          <w:bCs/>
          <w:i/>
          <w:iCs/>
          <w:sz w:val="24"/>
          <w:szCs w:val="24"/>
          <w:shd w:val="clear" w:color="auto" w:fill="FFFFFF"/>
        </w:rPr>
        <w:t xml:space="preserve"> </w:t>
      </w:r>
      <w:r w:rsidR="00950EB5" w:rsidRPr="00E040D1">
        <w:rPr>
          <w:rFonts w:asciiTheme="majorBidi" w:hAnsiTheme="majorBidi" w:cstheme="majorBidi"/>
          <w:sz w:val="24"/>
          <w:szCs w:val="24"/>
          <w:shd w:val="clear" w:color="auto" w:fill="FFFFFF"/>
        </w:rPr>
        <w:t>Co</w:t>
      </w:r>
      <w:r w:rsidR="00CD7459" w:rsidRPr="00E040D1">
        <w:rPr>
          <w:rFonts w:asciiTheme="majorBidi" w:hAnsiTheme="majorBidi" w:cstheme="majorBidi"/>
          <w:sz w:val="24"/>
          <w:szCs w:val="24"/>
          <w:shd w:val="clear" w:color="auto" w:fill="FFFFFF"/>
        </w:rPr>
        <w:t>Vs</w:t>
      </w:r>
      <w:r w:rsidRPr="00E040D1">
        <w:rPr>
          <w:rFonts w:asciiTheme="majorBidi" w:hAnsiTheme="majorBidi" w:cstheme="majorBidi"/>
          <w:sz w:val="24"/>
          <w:szCs w:val="24"/>
          <w:shd w:val="clear" w:color="auto" w:fill="FFFFFF"/>
        </w:rPr>
        <w:t xml:space="preserve"> are positive-stranded RNA (+ssRNA) viruses that have an extensive range of natural hosts and affect multiple systems </w:t>
      </w:r>
      <w:r w:rsidR="00D74942" w:rsidRPr="00E040D1">
        <w:rPr>
          <w:rFonts w:asciiTheme="majorBidi" w:hAnsiTheme="majorBidi" w:cstheme="majorBidi"/>
          <w:b/>
          <w:bCs/>
          <w:i/>
          <w:iCs/>
          <w:sz w:val="24"/>
          <w:szCs w:val="24"/>
          <w:shd w:val="clear" w:color="auto" w:fill="FFFFFF"/>
        </w:rPr>
        <w:t>(3</w:t>
      </w:r>
      <w:r w:rsidRPr="00E040D1">
        <w:rPr>
          <w:rFonts w:asciiTheme="majorBidi" w:hAnsiTheme="majorBidi" w:cstheme="majorBidi"/>
          <w:b/>
          <w:bCs/>
          <w:i/>
          <w:iCs/>
          <w:sz w:val="24"/>
          <w:szCs w:val="24"/>
          <w:shd w:val="clear" w:color="auto" w:fill="FFFFFF"/>
        </w:rPr>
        <w:t>).</w:t>
      </w:r>
      <w:r w:rsidRPr="00E040D1">
        <w:rPr>
          <w:rFonts w:asciiTheme="majorBidi" w:hAnsiTheme="majorBidi" w:cstheme="majorBidi"/>
          <w:i/>
          <w:iCs/>
          <w:sz w:val="24"/>
          <w:szCs w:val="24"/>
        </w:rPr>
        <w:t xml:space="preserve"> </w:t>
      </w:r>
      <w:r w:rsidRPr="00E040D1">
        <w:rPr>
          <w:rFonts w:asciiTheme="majorBidi" w:hAnsiTheme="majorBidi" w:cstheme="majorBidi"/>
          <w:sz w:val="24"/>
          <w:szCs w:val="24"/>
        </w:rPr>
        <w:t>CoVs with a crown-like appearance under an electron microscop</w:t>
      </w:r>
      <w:r w:rsidR="00CD7459" w:rsidRPr="00E040D1">
        <w:rPr>
          <w:rFonts w:asciiTheme="majorBidi" w:hAnsiTheme="majorBidi" w:cstheme="majorBidi"/>
          <w:sz w:val="24"/>
          <w:szCs w:val="24"/>
        </w:rPr>
        <w:t>e</w:t>
      </w:r>
      <w:r w:rsidR="00A32951" w:rsidRPr="00E040D1">
        <w:rPr>
          <w:rFonts w:asciiTheme="majorBidi" w:hAnsiTheme="majorBidi" w:cstheme="majorBidi"/>
          <w:sz w:val="24"/>
          <w:szCs w:val="24"/>
        </w:rPr>
        <w:t xml:space="preserve">. </w:t>
      </w:r>
      <w:r w:rsidRPr="00E040D1">
        <w:rPr>
          <w:rFonts w:asciiTheme="majorBidi" w:hAnsiTheme="majorBidi" w:cstheme="majorBidi"/>
          <w:sz w:val="24"/>
          <w:szCs w:val="24"/>
        </w:rPr>
        <w:t>Members of Covs can cause respiratory, enteric, hepatic, and neurological diseases in different animal species, in humans, illness ranging from the common cold to more severe disea</w:t>
      </w:r>
      <w:r w:rsidR="00A32951" w:rsidRPr="00E040D1">
        <w:rPr>
          <w:rFonts w:asciiTheme="majorBidi" w:hAnsiTheme="majorBidi" w:cstheme="majorBidi"/>
          <w:sz w:val="24"/>
          <w:szCs w:val="24"/>
        </w:rPr>
        <w:t xml:space="preserve">ses such as MERS and SARS </w:t>
      </w:r>
      <w:r w:rsidR="007948E5" w:rsidRPr="00E040D1">
        <w:rPr>
          <w:rFonts w:asciiTheme="majorBidi" w:hAnsiTheme="majorBidi" w:cstheme="majorBidi"/>
          <w:b/>
          <w:bCs/>
          <w:i/>
          <w:iCs/>
          <w:sz w:val="24"/>
          <w:szCs w:val="24"/>
        </w:rPr>
        <w:t>(</w:t>
      </w:r>
      <w:r w:rsidR="006A0616" w:rsidRPr="00E040D1">
        <w:rPr>
          <w:rFonts w:asciiTheme="majorBidi" w:hAnsiTheme="majorBidi" w:cstheme="majorBidi"/>
          <w:b/>
          <w:bCs/>
          <w:i/>
          <w:iCs/>
          <w:sz w:val="24"/>
          <w:szCs w:val="24"/>
        </w:rPr>
        <w:t>4</w:t>
      </w:r>
      <w:r w:rsidR="006429EA" w:rsidRPr="00E040D1">
        <w:rPr>
          <w:rFonts w:asciiTheme="majorBidi" w:hAnsiTheme="majorBidi" w:cstheme="majorBidi"/>
          <w:b/>
          <w:bCs/>
          <w:i/>
          <w:iCs/>
          <w:sz w:val="24"/>
          <w:szCs w:val="24"/>
        </w:rPr>
        <w:t>).</w:t>
      </w:r>
      <w:r w:rsidRPr="00E040D1">
        <w:rPr>
          <w:rFonts w:asciiTheme="majorBidi" w:hAnsiTheme="majorBidi" w:cstheme="majorBidi"/>
          <w:b/>
          <w:bCs/>
          <w:sz w:val="24"/>
          <w:szCs w:val="24"/>
          <w:shd w:val="clear" w:color="auto" w:fill="FFFFFF"/>
        </w:rPr>
        <w:t xml:space="preserve"> </w:t>
      </w:r>
    </w:p>
    <w:p w14:paraId="39EAAB0C" w14:textId="41043A93" w:rsidR="004B09FF" w:rsidRPr="00E040D1" w:rsidRDefault="00A24326" w:rsidP="00E040D1">
      <w:pPr>
        <w:spacing w:before="240" w:after="240" w:line="276" w:lineRule="auto"/>
        <w:jc w:val="both"/>
        <w:rPr>
          <w:rFonts w:asciiTheme="majorBidi" w:hAnsiTheme="majorBidi" w:cstheme="majorBidi"/>
          <w:b/>
          <w:bCs/>
          <w:i/>
          <w:iCs/>
          <w:sz w:val="24"/>
          <w:szCs w:val="24"/>
          <w:shd w:val="clear" w:color="auto" w:fill="FFFFFF"/>
        </w:rPr>
      </w:pPr>
      <w:r w:rsidRPr="00E040D1">
        <w:rPr>
          <w:rFonts w:asciiTheme="majorBidi" w:hAnsiTheme="majorBidi" w:cstheme="majorBidi"/>
          <w:sz w:val="24"/>
          <w:szCs w:val="24"/>
          <w:shd w:val="clear" w:color="auto" w:fill="FFFFFF"/>
        </w:rPr>
        <w:t>The WHO’s current estimate of the global case fatality rate for COVID-19 is 2.2%</w:t>
      </w:r>
      <w:r w:rsidRPr="00E040D1">
        <w:rPr>
          <w:rFonts w:asciiTheme="majorBidi" w:hAnsiTheme="majorBidi" w:cstheme="majorBidi"/>
          <w:b/>
          <w:bCs/>
          <w:i/>
          <w:iCs/>
          <w:sz w:val="24"/>
          <w:szCs w:val="24"/>
          <w:shd w:val="clear" w:color="auto" w:fill="FFFFFF"/>
        </w:rPr>
        <w:t>.</w:t>
      </w:r>
      <w:r w:rsidR="00144A0D" w:rsidRPr="00E040D1">
        <w:rPr>
          <w:rFonts w:asciiTheme="majorBidi" w:hAnsiTheme="majorBidi" w:cstheme="majorBidi"/>
          <w:b/>
          <w:bCs/>
          <w:i/>
          <w:iCs/>
          <w:sz w:val="24"/>
          <w:szCs w:val="24"/>
          <w:shd w:val="clear" w:color="auto" w:fill="FFFFFF"/>
        </w:rPr>
        <w:t xml:space="preserve"> </w:t>
      </w:r>
      <w:r w:rsidRPr="00E040D1">
        <w:rPr>
          <w:rFonts w:asciiTheme="majorBidi" w:hAnsiTheme="majorBidi" w:cstheme="majorBidi"/>
          <w:sz w:val="24"/>
          <w:szCs w:val="24"/>
          <w:shd w:val="clear" w:color="auto" w:fill="FFFFFF"/>
        </w:rPr>
        <w:t>All ages are at risk of contracting this infection and severe disease. However, patients aged ≥60 years and patients with underlying medical comorbidities have an increased risk of developing severe COVID-19 infection</w:t>
      </w:r>
      <w:r w:rsidR="00114100" w:rsidRPr="00E040D1">
        <w:rPr>
          <w:rFonts w:asciiTheme="majorBidi" w:hAnsiTheme="majorBidi" w:cstheme="majorBidi"/>
          <w:sz w:val="24"/>
          <w:szCs w:val="24"/>
          <w:shd w:val="clear" w:color="auto" w:fill="FFFFFF"/>
        </w:rPr>
        <w:t xml:space="preserve"> </w:t>
      </w:r>
      <w:r w:rsidRPr="00E040D1">
        <w:rPr>
          <w:rFonts w:asciiTheme="majorBidi" w:hAnsiTheme="majorBidi" w:cstheme="majorBidi"/>
          <w:b/>
          <w:bCs/>
          <w:i/>
          <w:iCs/>
          <w:sz w:val="24"/>
          <w:szCs w:val="24"/>
          <w:shd w:val="clear" w:color="auto" w:fill="FFFFFF"/>
        </w:rPr>
        <w:t>(</w:t>
      </w:r>
      <w:r w:rsidR="00160D20" w:rsidRPr="00E040D1">
        <w:rPr>
          <w:rFonts w:asciiTheme="majorBidi" w:hAnsiTheme="majorBidi" w:cstheme="majorBidi"/>
          <w:b/>
          <w:bCs/>
          <w:i/>
          <w:iCs/>
          <w:sz w:val="24"/>
          <w:szCs w:val="24"/>
          <w:shd w:val="clear" w:color="auto" w:fill="FFFFFF"/>
        </w:rPr>
        <w:t>5</w:t>
      </w:r>
      <w:r w:rsidR="00EA3ECB" w:rsidRPr="00E040D1">
        <w:rPr>
          <w:rFonts w:asciiTheme="majorBidi" w:hAnsiTheme="majorBidi" w:cstheme="majorBidi"/>
          <w:b/>
          <w:bCs/>
          <w:i/>
          <w:iCs/>
          <w:sz w:val="24"/>
          <w:szCs w:val="24"/>
          <w:shd w:val="clear" w:color="auto" w:fill="FFFFFF"/>
        </w:rPr>
        <w:t xml:space="preserve">). </w:t>
      </w:r>
      <w:r w:rsidRPr="00E040D1">
        <w:rPr>
          <w:rFonts w:asciiTheme="majorBidi" w:hAnsiTheme="majorBidi" w:cstheme="majorBidi"/>
          <w:sz w:val="24"/>
          <w:szCs w:val="24"/>
          <w:shd w:val="clear" w:color="auto" w:fill="FFFFFF"/>
        </w:rPr>
        <w:t xml:space="preserve">It is estimated that 17.9% to 33.3% of infected patients will remain asymptomatic. While most symptomatic patients commonly present with fever, cough, and shortness of breath and less commonly with a sore throat, anosmia, dysgeusia, anorexia, nausea, malaise, myalgias, and diarrhea. laboratory abnormalities that included lymphopenia (47.6%), elevated C-reactive protein levels (65.9%), elevated cardiac enzymes (49.4%), and abnormal liver function tests (26.4%) </w:t>
      </w:r>
      <w:r w:rsidRPr="00E040D1">
        <w:rPr>
          <w:rFonts w:asciiTheme="majorBidi" w:hAnsiTheme="majorBidi" w:cstheme="majorBidi"/>
          <w:b/>
          <w:bCs/>
          <w:i/>
          <w:iCs/>
          <w:sz w:val="24"/>
          <w:szCs w:val="24"/>
          <w:shd w:val="clear" w:color="auto" w:fill="FFFFFF"/>
        </w:rPr>
        <w:t>(</w:t>
      </w:r>
      <w:r w:rsidR="00160D20" w:rsidRPr="00E040D1">
        <w:rPr>
          <w:rFonts w:asciiTheme="majorBidi" w:hAnsiTheme="majorBidi" w:cstheme="majorBidi"/>
          <w:b/>
          <w:bCs/>
          <w:i/>
          <w:iCs/>
          <w:sz w:val="24"/>
          <w:szCs w:val="24"/>
          <w:shd w:val="clear" w:color="auto" w:fill="FFFFFF"/>
        </w:rPr>
        <w:t>6</w:t>
      </w:r>
      <w:r w:rsidRPr="00E040D1">
        <w:rPr>
          <w:rFonts w:asciiTheme="majorBidi" w:hAnsiTheme="majorBidi" w:cstheme="majorBidi"/>
          <w:b/>
          <w:bCs/>
          <w:i/>
          <w:iCs/>
          <w:sz w:val="24"/>
          <w:szCs w:val="24"/>
          <w:shd w:val="clear" w:color="auto" w:fill="FFFFFF"/>
        </w:rPr>
        <w:t>).</w:t>
      </w:r>
      <w:r w:rsidRPr="00E040D1">
        <w:rPr>
          <w:rFonts w:asciiTheme="majorBidi" w:hAnsiTheme="majorBidi" w:cstheme="majorBidi"/>
          <w:sz w:val="24"/>
          <w:szCs w:val="24"/>
          <w:shd w:val="clear" w:color="auto" w:fill="FFFFFF"/>
        </w:rPr>
        <w:t xml:space="preserve"> Other laboratory abnormalities included leukopenia (23.5%), elevated D-dimer (20.4%), elevated erythrocyte sedimentation rate (20.4%), leukocytosis (9.9%), elevated procalcitonin (16.7%), and abnormal renal function (10.9%) </w:t>
      </w:r>
      <w:r w:rsidR="00160D20" w:rsidRPr="00E040D1">
        <w:rPr>
          <w:rFonts w:asciiTheme="majorBidi" w:hAnsiTheme="majorBidi" w:cstheme="majorBidi"/>
          <w:b/>
          <w:bCs/>
          <w:i/>
          <w:iCs/>
          <w:sz w:val="24"/>
          <w:szCs w:val="24"/>
          <w:shd w:val="clear" w:color="auto" w:fill="FFFFFF"/>
        </w:rPr>
        <w:t>(7</w:t>
      </w:r>
      <w:r w:rsidRPr="00E040D1">
        <w:rPr>
          <w:rFonts w:asciiTheme="majorBidi" w:hAnsiTheme="majorBidi" w:cstheme="majorBidi"/>
          <w:b/>
          <w:bCs/>
          <w:i/>
          <w:iCs/>
          <w:sz w:val="24"/>
          <w:szCs w:val="24"/>
          <w:shd w:val="clear" w:color="auto" w:fill="FFFFFF"/>
        </w:rPr>
        <w:t xml:space="preserve">). </w:t>
      </w:r>
      <w:r w:rsidRPr="00E040D1">
        <w:rPr>
          <w:rFonts w:asciiTheme="majorBidi" w:hAnsiTheme="majorBidi" w:cstheme="majorBidi"/>
          <w:sz w:val="24"/>
          <w:szCs w:val="24"/>
          <w:shd w:val="clear" w:color="auto" w:fill="FFFFFF"/>
        </w:rPr>
        <w:t xml:space="preserve">The elevated </w:t>
      </w:r>
      <w:r w:rsidRPr="00E040D1">
        <w:rPr>
          <w:rFonts w:asciiTheme="majorBidi" w:hAnsiTheme="majorBidi" w:cstheme="majorBidi"/>
          <w:sz w:val="24"/>
          <w:szCs w:val="24"/>
          <w:shd w:val="clear" w:color="auto" w:fill="FFFFFF"/>
        </w:rPr>
        <w:lastRenderedPageBreak/>
        <w:t xml:space="preserve">neutrophil-to-lymphocyte ratio (NLR), derived NLR ratio (d-NLR) and the platelet-to-lymphocyte ratio is indicative of a cytokine-induced inflammatory storm </w:t>
      </w:r>
      <w:r w:rsidRPr="00E040D1">
        <w:rPr>
          <w:rFonts w:asciiTheme="majorBidi" w:hAnsiTheme="majorBidi" w:cstheme="majorBidi"/>
          <w:b/>
          <w:bCs/>
          <w:i/>
          <w:iCs/>
          <w:sz w:val="24"/>
          <w:szCs w:val="24"/>
          <w:shd w:val="clear" w:color="auto" w:fill="FFFFFF"/>
        </w:rPr>
        <w:t>(</w:t>
      </w:r>
      <w:r w:rsidR="00360C11" w:rsidRPr="00E040D1">
        <w:rPr>
          <w:rFonts w:asciiTheme="majorBidi" w:hAnsiTheme="majorBidi" w:cstheme="majorBidi"/>
          <w:b/>
          <w:bCs/>
          <w:i/>
          <w:iCs/>
          <w:sz w:val="24"/>
          <w:szCs w:val="24"/>
          <w:shd w:val="clear" w:color="auto" w:fill="FFFFFF"/>
        </w:rPr>
        <w:t>8</w:t>
      </w:r>
      <w:r w:rsidRPr="00E040D1">
        <w:rPr>
          <w:rFonts w:asciiTheme="majorBidi" w:hAnsiTheme="majorBidi" w:cstheme="majorBidi"/>
          <w:b/>
          <w:bCs/>
          <w:i/>
          <w:iCs/>
          <w:sz w:val="24"/>
          <w:szCs w:val="24"/>
          <w:shd w:val="clear" w:color="auto" w:fill="FFFFFF"/>
        </w:rPr>
        <w:t>).</w:t>
      </w:r>
      <w:r w:rsidRPr="00E040D1">
        <w:rPr>
          <w:rFonts w:asciiTheme="majorBidi" w:hAnsiTheme="majorBidi" w:cstheme="majorBidi"/>
          <w:sz w:val="24"/>
          <w:szCs w:val="24"/>
          <w:shd w:val="clear" w:color="auto" w:fill="FFFFFF"/>
        </w:rPr>
        <w:t xml:space="preserve"> RNA tests can confirm the diagnosis of SARS-CoV-2 (COVID-19) cases with real-time RT-PCR or next-generation sequencing</w:t>
      </w:r>
      <w:r w:rsidR="009C7297" w:rsidRPr="00E040D1">
        <w:rPr>
          <w:rFonts w:asciiTheme="majorBidi" w:hAnsiTheme="majorBidi" w:cstheme="majorBidi"/>
          <w:sz w:val="24"/>
          <w:szCs w:val="24"/>
          <w:shd w:val="clear" w:color="auto" w:fill="FFFFFF"/>
        </w:rPr>
        <w:t xml:space="preserve">, </w:t>
      </w:r>
      <w:r w:rsidRPr="00E040D1">
        <w:rPr>
          <w:rFonts w:asciiTheme="majorBidi" w:hAnsiTheme="majorBidi" w:cstheme="majorBidi"/>
          <w:sz w:val="24"/>
          <w:szCs w:val="24"/>
          <w:shd w:val="clear" w:color="auto" w:fill="FFFFFF"/>
        </w:rPr>
        <w:t>an effective method for confirming the diagnosis in clinical cases of COVID-19</w:t>
      </w:r>
      <w:r w:rsidRPr="00E040D1">
        <w:rPr>
          <w:rFonts w:asciiTheme="majorBidi" w:hAnsiTheme="majorBidi" w:cstheme="majorBidi"/>
          <w:b/>
          <w:bCs/>
          <w:i/>
          <w:iCs/>
          <w:sz w:val="24"/>
          <w:szCs w:val="24"/>
          <w:shd w:val="clear" w:color="auto" w:fill="FFFFFF"/>
        </w:rPr>
        <w:t>(</w:t>
      </w:r>
      <w:r w:rsidR="00360C11" w:rsidRPr="00E040D1">
        <w:rPr>
          <w:rFonts w:asciiTheme="majorBidi" w:hAnsiTheme="majorBidi" w:cstheme="majorBidi"/>
          <w:b/>
          <w:bCs/>
          <w:i/>
          <w:iCs/>
          <w:sz w:val="24"/>
          <w:szCs w:val="24"/>
          <w:shd w:val="clear" w:color="auto" w:fill="FFFFFF"/>
        </w:rPr>
        <w:t>9</w:t>
      </w:r>
      <w:r w:rsidRPr="00E040D1">
        <w:rPr>
          <w:rFonts w:asciiTheme="majorBidi" w:hAnsiTheme="majorBidi" w:cstheme="majorBidi"/>
          <w:b/>
          <w:bCs/>
          <w:i/>
          <w:iCs/>
          <w:sz w:val="24"/>
          <w:szCs w:val="24"/>
          <w:shd w:val="clear" w:color="auto" w:fill="FFFFFF"/>
        </w:rPr>
        <w:t>).</w:t>
      </w:r>
      <w:r w:rsidR="001A4DE7" w:rsidRPr="00E040D1">
        <w:rPr>
          <w:rFonts w:asciiTheme="majorBidi" w:hAnsiTheme="majorBidi" w:cstheme="majorBidi"/>
          <w:sz w:val="24"/>
          <w:szCs w:val="24"/>
          <w:shd w:val="clear" w:color="auto" w:fill="FFFFFF"/>
        </w:rPr>
        <w:t xml:space="preserve"> </w:t>
      </w:r>
      <w:r w:rsidRPr="00E040D1">
        <w:rPr>
          <w:rFonts w:asciiTheme="majorBidi" w:hAnsiTheme="majorBidi" w:cstheme="majorBidi"/>
          <w:sz w:val="24"/>
          <w:szCs w:val="24"/>
          <w:shd w:val="clear" w:color="auto" w:fill="FFFFFF"/>
        </w:rPr>
        <w:t>Nucleic acids of SARS-CoV-2 can be detected from samples such as bronchoalveolar lavage fluid, sputum, nasal swabs, fiber bronchoscope brush biopsy specimen, pharyngeal swabs, feces, blood, and urine, with different levels of diagnostic performance</w:t>
      </w:r>
      <w:r w:rsidRPr="00E040D1">
        <w:rPr>
          <w:rFonts w:asciiTheme="majorBidi" w:hAnsiTheme="majorBidi" w:cstheme="majorBidi"/>
          <w:b/>
          <w:bCs/>
          <w:i/>
          <w:iCs/>
          <w:sz w:val="24"/>
          <w:szCs w:val="24"/>
          <w:shd w:val="clear" w:color="auto" w:fill="FFFFFF"/>
        </w:rPr>
        <w:t>.</w:t>
      </w:r>
      <w:r w:rsidRPr="00E040D1">
        <w:rPr>
          <w:rFonts w:asciiTheme="majorBidi" w:hAnsiTheme="majorBidi" w:cstheme="majorBidi"/>
          <w:i/>
          <w:iCs/>
          <w:sz w:val="24"/>
          <w:szCs w:val="24"/>
          <w:shd w:val="clear" w:color="auto" w:fill="FFFFFF"/>
        </w:rPr>
        <w:t xml:space="preserve"> </w:t>
      </w:r>
      <w:r w:rsidRPr="00E040D1">
        <w:rPr>
          <w:rFonts w:asciiTheme="majorBidi" w:hAnsiTheme="majorBidi" w:cstheme="majorBidi"/>
          <w:sz w:val="24"/>
          <w:szCs w:val="24"/>
          <w:shd w:val="clear" w:color="auto" w:fill="FFFFFF"/>
        </w:rPr>
        <w:t>The sensitivity of PCR testing is dependent on multiple factors that include the adequacy of the specimen, technical specimen collection, time from exposure, and specimen source</w:t>
      </w:r>
      <w:r w:rsidRPr="00E040D1">
        <w:rPr>
          <w:rFonts w:asciiTheme="majorBidi" w:hAnsiTheme="majorBidi" w:cstheme="majorBidi"/>
          <w:i/>
          <w:iCs/>
          <w:sz w:val="24"/>
          <w:szCs w:val="24"/>
          <w:shd w:val="clear" w:color="auto" w:fill="FFFFFF"/>
        </w:rPr>
        <w:t xml:space="preserve"> </w:t>
      </w:r>
      <w:r w:rsidRPr="00E040D1">
        <w:rPr>
          <w:rFonts w:asciiTheme="majorBidi" w:hAnsiTheme="majorBidi" w:cstheme="majorBidi"/>
          <w:b/>
          <w:bCs/>
          <w:i/>
          <w:iCs/>
          <w:sz w:val="24"/>
          <w:szCs w:val="24"/>
          <w:shd w:val="clear" w:color="auto" w:fill="FFFFFF"/>
        </w:rPr>
        <w:t>(</w:t>
      </w:r>
      <w:r w:rsidR="00360C11" w:rsidRPr="00E040D1">
        <w:rPr>
          <w:rFonts w:asciiTheme="majorBidi" w:hAnsiTheme="majorBidi" w:cstheme="majorBidi"/>
          <w:b/>
          <w:bCs/>
          <w:i/>
          <w:iCs/>
          <w:sz w:val="24"/>
          <w:szCs w:val="24"/>
          <w:shd w:val="clear" w:color="auto" w:fill="FFFFFF"/>
        </w:rPr>
        <w:t>10</w:t>
      </w:r>
      <w:r w:rsidRPr="00E040D1">
        <w:rPr>
          <w:rFonts w:asciiTheme="majorBidi" w:hAnsiTheme="majorBidi" w:cstheme="majorBidi"/>
          <w:b/>
          <w:bCs/>
          <w:sz w:val="24"/>
          <w:szCs w:val="24"/>
          <w:shd w:val="clear" w:color="auto" w:fill="FFFFFF"/>
        </w:rPr>
        <w:t>).</w:t>
      </w:r>
      <w:r w:rsidR="000E37C0" w:rsidRPr="00E040D1">
        <w:rPr>
          <w:rFonts w:asciiTheme="majorBidi" w:hAnsiTheme="majorBidi" w:cstheme="majorBidi"/>
          <w:sz w:val="24"/>
          <w:szCs w:val="24"/>
          <w:shd w:val="clear" w:color="auto" w:fill="FFFFFF"/>
        </w:rPr>
        <w:t xml:space="preserve"> The</w:t>
      </w:r>
      <w:r w:rsidRPr="00E040D1">
        <w:rPr>
          <w:rFonts w:asciiTheme="majorBidi" w:hAnsiTheme="majorBidi" w:cstheme="majorBidi"/>
          <w:sz w:val="24"/>
          <w:szCs w:val="24"/>
          <w:shd w:val="clear" w:color="auto" w:fill="FFFFFF"/>
        </w:rPr>
        <w:t xml:space="preserve"> viral loads of SARS-CoV-2 were measured using N-gene-specific quantitative RT-PCR in throat swab and sputum samples collected from COVID-19-infected individuals. Chest Computed Tomography (CT), The American College of Radiology recommends against Chest CT's routine use as an initial imaging study or screening. The sensitivity of chest CT is far supe</w:t>
      </w:r>
      <w:r w:rsidR="00360C11" w:rsidRPr="00E040D1">
        <w:rPr>
          <w:rFonts w:asciiTheme="majorBidi" w:hAnsiTheme="majorBidi" w:cstheme="majorBidi"/>
          <w:sz w:val="24"/>
          <w:szCs w:val="24"/>
          <w:shd w:val="clear" w:color="auto" w:fill="FFFFFF"/>
        </w:rPr>
        <w:t>rior to that of X-ray screening</w:t>
      </w:r>
      <w:r w:rsidRPr="00E040D1">
        <w:rPr>
          <w:rFonts w:asciiTheme="majorBidi" w:hAnsiTheme="majorBidi" w:cstheme="majorBidi"/>
          <w:sz w:val="24"/>
          <w:szCs w:val="24"/>
          <w:shd w:val="clear" w:color="auto" w:fill="FFFFFF"/>
        </w:rPr>
        <w:t xml:space="preserve"> </w:t>
      </w:r>
      <w:r w:rsidR="00360C11" w:rsidRPr="00E040D1">
        <w:rPr>
          <w:rFonts w:asciiTheme="majorBidi" w:hAnsiTheme="majorBidi" w:cstheme="majorBidi"/>
          <w:b/>
          <w:bCs/>
          <w:sz w:val="24"/>
          <w:szCs w:val="24"/>
          <w:shd w:val="clear" w:color="auto" w:fill="FFFFFF"/>
        </w:rPr>
        <w:t>(11)</w:t>
      </w:r>
      <w:r w:rsidR="00360C11" w:rsidRPr="00E040D1">
        <w:rPr>
          <w:rFonts w:asciiTheme="majorBidi" w:hAnsiTheme="majorBidi" w:cstheme="majorBidi"/>
          <w:sz w:val="24"/>
          <w:szCs w:val="24"/>
          <w:shd w:val="clear" w:color="auto" w:fill="FFFFFF"/>
        </w:rPr>
        <w:t xml:space="preserve">. </w:t>
      </w:r>
      <w:r w:rsidRPr="00E040D1">
        <w:rPr>
          <w:rFonts w:asciiTheme="majorBidi" w:hAnsiTheme="majorBidi" w:cstheme="majorBidi"/>
          <w:sz w:val="24"/>
          <w:szCs w:val="24"/>
          <w:shd w:val="clear" w:color="auto" w:fill="FFFFFF"/>
        </w:rPr>
        <w:t>The chest CT findings associated with COVID-19-infected patients include characteristic patchy infiltration that later progresses to ground-glass opacities associated with consolidation areas with patchy distribution, mainly peripheral/subpleural, and greater involvement of the posterior regions’ lower lobes</w:t>
      </w:r>
      <w:r w:rsidR="009C7297" w:rsidRPr="00E040D1">
        <w:rPr>
          <w:rFonts w:asciiTheme="majorBidi" w:hAnsiTheme="majorBidi" w:cstheme="majorBidi"/>
          <w:sz w:val="24"/>
          <w:szCs w:val="24"/>
          <w:shd w:val="clear" w:color="auto" w:fill="FFFFFF"/>
        </w:rPr>
        <w:t xml:space="preserve"> </w:t>
      </w:r>
      <w:r w:rsidRPr="00E040D1">
        <w:rPr>
          <w:rFonts w:asciiTheme="majorBidi" w:hAnsiTheme="majorBidi" w:cstheme="majorBidi"/>
          <w:b/>
          <w:bCs/>
          <w:i/>
          <w:iCs/>
          <w:sz w:val="24"/>
          <w:szCs w:val="24"/>
          <w:shd w:val="clear" w:color="auto" w:fill="FFFFFF"/>
        </w:rPr>
        <w:t>(</w:t>
      </w:r>
      <w:r w:rsidR="00360C11" w:rsidRPr="00E040D1">
        <w:rPr>
          <w:rFonts w:asciiTheme="majorBidi" w:hAnsiTheme="majorBidi" w:cstheme="majorBidi"/>
          <w:b/>
          <w:bCs/>
          <w:i/>
          <w:iCs/>
          <w:sz w:val="24"/>
          <w:szCs w:val="24"/>
          <w:shd w:val="clear" w:color="auto" w:fill="FFFFFF"/>
        </w:rPr>
        <w:t>12</w:t>
      </w:r>
      <w:r w:rsidRPr="00E040D1">
        <w:rPr>
          <w:rFonts w:asciiTheme="majorBidi" w:hAnsiTheme="majorBidi" w:cstheme="majorBidi"/>
          <w:b/>
          <w:bCs/>
          <w:i/>
          <w:iCs/>
          <w:sz w:val="24"/>
          <w:szCs w:val="24"/>
          <w:shd w:val="clear" w:color="auto" w:fill="FFFFFF"/>
        </w:rPr>
        <w:t>).</w:t>
      </w:r>
      <w:r w:rsidR="00176860" w:rsidRPr="00E040D1">
        <w:rPr>
          <w:rFonts w:asciiTheme="majorBidi" w:hAnsiTheme="majorBidi" w:cstheme="majorBidi"/>
          <w:b/>
          <w:bCs/>
          <w:i/>
          <w:iCs/>
          <w:sz w:val="24"/>
          <w:szCs w:val="24"/>
          <w:shd w:val="clear" w:color="auto" w:fill="FFFFFF"/>
        </w:rPr>
        <w:t xml:space="preserve"> </w:t>
      </w:r>
    </w:p>
    <w:p w14:paraId="00F0D6BA" w14:textId="31E9EF2F" w:rsidR="00A24326" w:rsidRPr="00E040D1" w:rsidRDefault="00A24326" w:rsidP="00E040D1">
      <w:pPr>
        <w:spacing w:before="240" w:after="240" w:line="276" w:lineRule="auto"/>
        <w:jc w:val="both"/>
        <w:rPr>
          <w:rFonts w:asciiTheme="majorBidi" w:hAnsiTheme="majorBidi" w:cstheme="majorBidi"/>
          <w:sz w:val="24"/>
          <w:szCs w:val="24"/>
          <w:shd w:val="clear" w:color="auto" w:fill="FFFFFF"/>
        </w:rPr>
      </w:pPr>
      <w:r w:rsidRPr="00E040D1">
        <w:rPr>
          <w:rFonts w:asciiTheme="majorBidi" w:hAnsiTheme="majorBidi" w:cstheme="majorBidi"/>
          <w:sz w:val="24"/>
          <w:szCs w:val="24"/>
          <w:shd w:val="clear" w:color="auto" w:fill="FFFFFF"/>
        </w:rPr>
        <w:t>Remdesivir, a novel nucleotide analog prodrug,</w:t>
      </w:r>
      <w:r w:rsidR="009C7297" w:rsidRPr="00E040D1">
        <w:rPr>
          <w:rFonts w:asciiTheme="majorBidi" w:hAnsiTheme="majorBidi" w:cstheme="majorBidi"/>
          <w:sz w:val="24"/>
          <w:szCs w:val="24"/>
          <w:shd w:val="clear" w:color="auto" w:fill="FFFFFF"/>
        </w:rPr>
        <w:t xml:space="preserve"> </w:t>
      </w:r>
      <w:r w:rsidRPr="00E040D1">
        <w:rPr>
          <w:rFonts w:asciiTheme="majorBidi" w:hAnsiTheme="majorBidi" w:cstheme="majorBidi"/>
          <w:sz w:val="24"/>
          <w:szCs w:val="24"/>
          <w:shd w:val="clear" w:color="auto" w:fill="FFFFFF"/>
        </w:rPr>
        <w:t xml:space="preserve">and it was also found to inhibit the replication of SARS-CoV and MERS-CoV in </w:t>
      </w:r>
      <w:r w:rsidRPr="00E040D1">
        <w:rPr>
          <w:rFonts w:asciiTheme="majorBidi" w:hAnsiTheme="majorBidi" w:cstheme="majorBidi"/>
          <w:sz w:val="24"/>
          <w:szCs w:val="24"/>
          <w:shd w:val="clear" w:color="auto" w:fill="FFFFFF"/>
        </w:rPr>
        <w:lastRenderedPageBreak/>
        <w:t>primary human airway epithelial cell culture systems</w:t>
      </w:r>
      <w:r w:rsidR="00A5181A" w:rsidRPr="00E040D1">
        <w:rPr>
          <w:rFonts w:asciiTheme="majorBidi" w:hAnsiTheme="majorBidi" w:cstheme="majorBidi"/>
          <w:b/>
          <w:bCs/>
          <w:sz w:val="24"/>
          <w:szCs w:val="24"/>
          <w:shd w:val="clear" w:color="auto" w:fill="FFFFFF"/>
        </w:rPr>
        <w:t xml:space="preserve">, </w:t>
      </w:r>
      <w:r w:rsidRPr="00E040D1">
        <w:rPr>
          <w:rFonts w:asciiTheme="majorBidi" w:hAnsiTheme="majorBidi" w:cstheme="majorBidi"/>
          <w:sz w:val="24"/>
          <w:szCs w:val="24"/>
          <w:shd w:val="clear" w:color="auto" w:fill="FFFFFF"/>
        </w:rPr>
        <w:t xml:space="preserve">it improves pulmonary function and reduced viral loads and lung pathology both in prophylactic and therapeutic regimens compared to lopinavir/ritonavir-IFN-γ treatment in MERS-CoV infection. Remdesivir is also considered the only therapeutic drug that significantly reduces pulmonary pathology </w:t>
      </w:r>
      <w:r w:rsidRPr="00E040D1">
        <w:rPr>
          <w:rFonts w:asciiTheme="majorBidi" w:hAnsiTheme="majorBidi" w:cstheme="majorBidi"/>
          <w:b/>
          <w:bCs/>
          <w:i/>
          <w:iCs/>
          <w:sz w:val="24"/>
          <w:szCs w:val="24"/>
          <w:shd w:val="clear" w:color="auto" w:fill="FFFFFF"/>
        </w:rPr>
        <w:t>(</w:t>
      </w:r>
      <w:r w:rsidR="00360C11" w:rsidRPr="00E040D1">
        <w:rPr>
          <w:rFonts w:asciiTheme="majorBidi" w:hAnsiTheme="majorBidi" w:cstheme="majorBidi"/>
          <w:b/>
          <w:bCs/>
          <w:i/>
          <w:iCs/>
          <w:sz w:val="24"/>
          <w:szCs w:val="24"/>
          <w:shd w:val="clear" w:color="auto" w:fill="FFFFFF"/>
        </w:rPr>
        <w:t>13</w:t>
      </w:r>
      <w:r w:rsidRPr="00E040D1">
        <w:rPr>
          <w:rFonts w:asciiTheme="majorBidi" w:hAnsiTheme="majorBidi" w:cstheme="majorBidi"/>
          <w:b/>
          <w:bCs/>
          <w:i/>
          <w:iCs/>
          <w:sz w:val="24"/>
          <w:szCs w:val="24"/>
          <w:shd w:val="clear" w:color="auto" w:fill="FFFFFF"/>
        </w:rPr>
        <w:t>).</w:t>
      </w:r>
      <w:r w:rsidR="00176860" w:rsidRPr="00E040D1">
        <w:rPr>
          <w:rFonts w:asciiTheme="majorBidi" w:hAnsiTheme="majorBidi" w:cstheme="majorBidi"/>
          <w:b/>
          <w:bCs/>
          <w:i/>
          <w:iCs/>
          <w:sz w:val="24"/>
          <w:szCs w:val="24"/>
          <w:shd w:val="clear" w:color="auto" w:fill="FFFFFF"/>
        </w:rPr>
        <w:t xml:space="preserve"> </w:t>
      </w:r>
      <w:r w:rsidRPr="00E040D1">
        <w:rPr>
          <w:rFonts w:asciiTheme="majorBidi" w:hAnsiTheme="majorBidi" w:cstheme="majorBidi"/>
          <w:sz w:val="24"/>
          <w:szCs w:val="24"/>
          <w:shd w:val="clear" w:color="auto" w:fill="FFFFFF"/>
        </w:rPr>
        <w:t>Chloroquine is an antimalarial drug known to possess antiviral activity due to its ability to block virus-cell fusion</w:t>
      </w:r>
      <w:r w:rsidRPr="00E040D1">
        <w:rPr>
          <w:rFonts w:asciiTheme="majorBidi" w:hAnsiTheme="majorBidi" w:cstheme="majorBidi"/>
          <w:b/>
          <w:bCs/>
          <w:i/>
          <w:iCs/>
          <w:sz w:val="24"/>
          <w:szCs w:val="24"/>
          <w:shd w:val="clear" w:color="auto" w:fill="FFFFFF"/>
        </w:rPr>
        <w:t>.</w:t>
      </w:r>
      <w:r w:rsidRPr="00E040D1">
        <w:rPr>
          <w:rFonts w:asciiTheme="majorBidi" w:hAnsiTheme="majorBidi" w:cstheme="majorBidi"/>
          <w:sz w:val="24"/>
          <w:szCs w:val="24"/>
          <w:shd w:val="clear" w:color="auto" w:fill="FFFFFF"/>
        </w:rPr>
        <w:t xml:space="preserve"> The COVID-19 patients received 600 mg of hydroxychloroquine daily along with azithromycin as a single-arm protocol. This protocol was found to be associated with a reduction in viral load. Finally, it resulted in a complete cure</w:t>
      </w:r>
      <w:r w:rsidRPr="00E040D1">
        <w:rPr>
          <w:rFonts w:asciiTheme="majorBidi" w:hAnsiTheme="majorBidi" w:cstheme="majorBidi"/>
          <w:b/>
          <w:bCs/>
          <w:sz w:val="24"/>
          <w:szCs w:val="24"/>
          <w:shd w:val="clear" w:color="auto" w:fill="FFFFFF"/>
        </w:rPr>
        <w:t xml:space="preserve"> </w:t>
      </w:r>
      <w:r w:rsidRPr="00E040D1">
        <w:rPr>
          <w:rFonts w:asciiTheme="majorBidi" w:hAnsiTheme="majorBidi" w:cstheme="majorBidi"/>
          <w:b/>
          <w:bCs/>
          <w:i/>
          <w:iCs/>
          <w:sz w:val="24"/>
          <w:szCs w:val="24"/>
          <w:shd w:val="clear" w:color="auto" w:fill="FFFFFF"/>
        </w:rPr>
        <w:t>(</w:t>
      </w:r>
      <w:r w:rsidR="00360C11" w:rsidRPr="00E040D1">
        <w:rPr>
          <w:rFonts w:asciiTheme="majorBidi" w:hAnsiTheme="majorBidi" w:cstheme="majorBidi"/>
          <w:b/>
          <w:bCs/>
          <w:i/>
          <w:iCs/>
          <w:sz w:val="24"/>
          <w:szCs w:val="24"/>
          <w:shd w:val="clear" w:color="auto" w:fill="FFFFFF"/>
        </w:rPr>
        <w:t>14</w:t>
      </w:r>
      <w:r w:rsidRPr="00E040D1">
        <w:rPr>
          <w:rFonts w:asciiTheme="majorBidi" w:hAnsiTheme="majorBidi" w:cstheme="majorBidi"/>
          <w:b/>
          <w:bCs/>
          <w:i/>
          <w:iCs/>
          <w:sz w:val="24"/>
          <w:szCs w:val="24"/>
          <w:shd w:val="clear" w:color="auto" w:fill="FFFFFF"/>
        </w:rPr>
        <w:t>)</w:t>
      </w:r>
      <w:r w:rsidR="00176860" w:rsidRPr="00E040D1">
        <w:rPr>
          <w:rFonts w:asciiTheme="majorBidi" w:hAnsiTheme="majorBidi" w:cstheme="majorBidi"/>
          <w:b/>
          <w:bCs/>
          <w:i/>
          <w:iCs/>
          <w:sz w:val="24"/>
          <w:szCs w:val="24"/>
          <w:shd w:val="clear" w:color="auto" w:fill="FFFFFF"/>
        </w:rPr>
        <w:t xml:space="preserve">. </w:t>
      </w:r>
      <w:r w:rsidRPr="00E040D1">
        <w:rPr>
          <w:rFonts w:asciiTheme="majorBidi" w:hAnsiTheme="majorBidi" w:cstheme="majorBidi"/>
          <w:sz w:val="24"/>
          <w:szCs w:val="24"/>
          <w:shd w:val="clear" w:color="auto" w:fill="FFFFFF"/>
        </w:rPr>
        <w:t xml:space="preserve">Another FDA-approved drug, ivermectin, anti-parasitic was reported to inhibit the in vitro replication of SARS-CoV-2. One of the main disadvantages is its potential to cause cytotoxicity. </w:t>
      </w:r>
      <w:r w:rsidRPr="00E040D1">
        <w:rPr>
          <w:rFonts w:asciiTheme="majorBidi" w:hAnsiTheme="majorBidi" w:cstheme="majorBidi"/>
          <w:b/>
          <w:bCs/>
          <w:sz w:val="24"/>
          <w:szCs w:val="24"/>
          <w:shd w:val="clear" w:color="auto" w:fill="FFFFFF"/>
        </w:rPr>
        <w:t>Corticosteroids, </w:t>
      </w:r>
      <w:r w:rsidRPr="00E040D1">
        <w:rPr>
          <w:rFonts w:asciiTheme="majorBidi" w:hAnsiTheme="majorBidi" w:cstheme="majorBidi"/>
          <w:sz w:val="24"/>
          <w:szCs w:val="24"/>
          <w:shd w:val="clear" w:color="auto" w:fill="FFFFFF"/>
        </w:rPr>
        <w:t>Severe COVID-19 is associated with inflammation-related lung injury driven by the release of cytokines characterized by an elevation in inflammatory markers. Dexamethasone use resulted in lower 28-day mortality in patients who were on invasive mechanical ventilation or oxygen support but not in patients who were not receiving any respiratory support</w:t>
      </w:r>
      <w:r w:rsidR="00216A19" w:rsidRPr="00E040D1">
        <w:rPr>
          <w:rFonts w:asciiTheme="majorBidi" w:hAnsiTheme="majorBidi" w:cstheme="majorBidi"/>
          <w:sz w:val="24"/>
          <w:szCs w:val="24"/>
          <w:shd w:val="clear" w:color="auto" w:fill="FFFFFF"/>
        </w:rPr>
        <w:t xml:space="preserve"> </w:t>
      </w:r>
      <w:r w:rsidRPr="00E040D1">
        <w:rPr>
          <w:rFonts w:asciiTheme="majorBidi" w:hAnsiTheme="majorBidi" w:cstheme="majorBidi"/>
          <w:b/>
          <w:bCs/>
          <w:i/>
          <w:iCs/>
          <w:sz w:val="24"/>
          <w:szCs w:val="24"/>
          <w:shd w:val="clear" w:color="auto" w:fill="FFFFFF"/>
        </w:rPr>
        <w:t>(</w:t>
      </w:r>
      <w:r w:rsidR="00360C11" w:rsidRPr="00E040D1">
        <w:rPr>
          <w:rFonts w:asciiTheme="majorBidi" w:hAnsiTheme="majorBidi" w:cstheme="majorBidi"/>
          <w:b/>
          <w:bCs/>
          <w:i/>
          <w:iCs/>
          <w:sz w:val="24"/>
          <w:szCs w:val="24"/>
          <w:shd w:val="clear" w:color="auto" w:fill="FFFFFF"/>
        </w:rPr>
        <w:t>15</w:t>
      </w:r>
      <w:r w:rsidR="00037897" w:rsidRPr="00E040D1">
        <w:rPr>
          <w:rFonts w:asciiTheme="majorBidi" w:hAnsiTheme="majorBidi" w:cstheme="majorBidi"/>
          <w:b/>
          <w:bCs/>
          <w:i/>
          <w:iCs/>
          <w:sz w:val="24"/>
          <w:szCs w:val="24"/>
          <w:shd w:val="clear" w:color="auto" w:fill="FFFFFF"/>
        </w:rPr>
        <w:t>).</w:t>
      </w:r>
      <w:r w:rsidR="00216A19" w:rsidRPr="00E040D1">
        <w:rPr>
          <w:rFonts w:asciiTheme="majorBidi" w:hAnsiTheme="majorBidi" w:cstheme="majorBidi"/>
          <w:sz w:val="24"/>
          <w:szCs w:val="24"/>
          <w:shd w:val="clear" w:color="auto" w:fill="FFFFFF"/>
        </w:rPr>
        <w:t xml:space="preserve"> </w:t>
      </w:r>
      <w:r w:rsidRPr="00E040D1">
        <w:rPr>
          <w:rFonts w:asciiTheme="majorBidi" w:hAnsiTheme="majorBidi" w:cstheme="majorBidi"/>
          <w:sz w:val="24"/>
          <w:szCs w:val="24"/>
          <w:shd w:val="clear" w:color="auto" w:fill="FFFFFF"/>
        </w:rPr>
        <w:t>Interferon-β-1, acytokines that are essential in mounting an immune response to a viral infection, and SARS-CoV-2 suppresses its release </w:t>
      </w:r>
      <w:r w:rsidRPr="00E040D1">
        <w:rPr>
          <w:rFonts w:asciiTheme="majorBidi" w:hAnsiTheme="majorBidi" w:cstheme="majorBidi"/>
          <w:i/>
          <w:iCs/>
          <w:sz w:val="24"/>
          <w:szCs w:val="24"/>
          <w:shd w:val="clear" w:color="auto" w:fill="FFFFFF"/>
        </w:rPr>
        <w:t xml:space="preserve">in vitro </w:t>
      </w:r>
      <w:r w:rsidRPr="00E040D1">
        <w:rPr>
          <w:rFonts w:asciiTheme="majorBidi" w:hAnsiTheme="majorBidi" w:cstheme="majorBidi"/>
          <w:b/>
          <w:bCs/>
          <w:i/>
          <w:iCs/>
          <w:sz w:val="24"/>
          <w:szCs w:val="24"/>
          <w:shd w:val="clear" w:color="auto" w:fill="FFFFFF"/>
        </w:rPr>
        <w:t>(</w:t>
      </w:r>
      <w:r w:rsidR="00360C11" w:rsidRPr="00E040D1">
        <w:rPr>
          <w:rFonts w:asciiTheme="majorBidi" w:hAnsiTheme="majorBidi" w:cstheme="majorBidi"/>
          <w:b/>
          <w:bCs/>
          <w:i/>
          <w:iCs/>
          <w:sz w:val="24"/>
          <w:szCs w:val="24"/>
          <w:shd w:val="clear" w:color="auto" w:fill="FFFFFF"/>
        </w:rPr>
        <w:t>16</w:t>
      </w:r>
      <w:r w:rsidRPr="00E040D1">
        <w:rPr>
          <w:rFonts w:asciiTheme="majorBidi" w:hAnsiTheme="majorBidi" w:cstheme="majorBidi"/>
          <w:b/>
          <w:bCs/>
          <w:i/>
          <w:iCs/>
          <w:sz w:val="24"/>
          <w:szCs w:val="24"/>
          <w:shd w:val="clear" w:color="auto" w:fill="FFFFFF"/>
        </w:rPr>
        <w:t>).</w:t>
      </w:r>
      <w:r w:rsidRPr="00E040D1">
        <w:rPr>
          <w:rFonts w:asciiTheme="majorBidi" w:hAnsiTheme="majorBidi" w:cstheme="majorBidi"/>
          <w:b/>
          <w:bCs/>
          <w:sz w:val="24"/>
          <w:szCs w:val="24"/>
          <w:shd w:val="clear" w:color="auto" w:fill="FFFFFF"/>
        </w:rPr>
        <w:t xml:space="preserve"> </w:t>
      </w:r>
      <w:r w:rsidRPr="00E040D1">
        <w:rPr>
          <w:rFonts w:asciiTheme="majorBidi" w:hAnsiTheme="majorBidi" w:cstheme="majorBidi"/>
          <w:sz w:val="24"/>
          <w:szCs w:val="24"/>
          <w:shd w:val="clear" w:color="auto" w:fill="FFFFFF"/>
        </w:rPr>
        <w:t xml:space="preserve">Conventional Oxygen Therapy, COVID-19 patients with associated respiratory insufficiency should be monitored closely with continuous pulse oximetry. Supplemental oxygen supplementation via nasal cannula or Venturi mask must be </w:t>
      </w:r>
      <w:r w:rsidRPr="00E040D1">
        <w:rPr>
          <w:rFonts w:asciiTheme="majorBidi" w:hAnsiTheme="majorBidi" w:cstheme="majorBidi"/>
          <w:sz w:val="24"/>
          <w:szCs w:val="24"/>
          <w:shd w:val="clear" w:color="auto" w:fill="FFFFFF"/>
        </w:rPr>
        <w:lastRenderedPageBreak/>
        <w:t>administered to maintain oxygen saturation between 92 to 96% (&lt; 88-90% if COPD). If there is improvement in clinical and oxygen saturation, supplemental oxygen should be continued with periodic reassessment. If there is no clinical improvement or worsening of symptoms and/or oxygen saturation, non-invasive treatments such as High-Flow Nasal Cannula (HFNC) or Noninvasive Positive Pressure Ventilation (NIPPV) are recommended</w:t>
      </w:r>
      <w:r w:rsidRPr="00E040D1">
        <w:rPr>
          <w:rFonts w:asciiTheme="majorBidi" w:hAnsiTheme="majorBidi" w:cstheme="majorBidi"/>
          <w:b/>
          <w:bCs/>
          <w:sz w:val="24"/>
          <w:szCs w:val="24"/>
          <w:shd w:val="clear" w:color="auto" w:fill="FFFFFF"/>
        </w:rPr>
        <w:t xml:space="preserve"> </w:t>
      </w:r>
      <w:r w:rsidRPr="00E040D1">
        <w:rPr>
          <w:rFonts w:asciiTheme="majorBidi" w:hAnsiTheme="majorBidi" w:cstheme="majorBidi"/>
          <w:b/>
          <w:bCs/>
          <w:i/>
          <w:iCs/>
          <w:sz w:val="24"/>
          <w:szCs w:val="24"/>
          <w:shd w:val="clear" w:color="auto" w:fill="FFFFFF"/>
        </w:rPr>
        <w:t>(</w:t>
      </w:r>
      <w:r w:rsidR="00360C11" w:rsidRPr="00E040D1">
        <w:rPr>
          <w:rFonts w:asciiTheme="majorBidi" w:hAnsiTheme="majorBidi" w:cstheme="majorBidi"/>
          <w:b/>
          <w:bCs/>
          <w:i/>
          <w:iCs/>
          <w:sz w:val="24"/>
          <w:szCs w:val="24"/>
          <w:shd w:val="clear" w:color="auto" w:fill="FFFFFF"/>
        </w:rPr>
        <w:t>1</w:t>
      </w:r>
      <w:r w:rsidR="00F24679" w:rsidRPr="00E040D1">
        <w:rPr>
          <w:rFonts w:asciiTheme="majorBidi" w:hAnsiTheme="majorBidi" w:cstheme="majorBidi"/>
          <w:b/>
          <w:bCs/>
          <w:i/>
          <w:iCs/>
          <w:sz w:val="24"/>
          <w:szCs w:val="24"/>
          <w:shd w:val="clear" w:color="auto" w:fill="FFFFFF"/>
        </w:rPr>
        <w:t>7</w:t>
      </w:r>
      <w:r w:rsidRPr="00E040D1">
        <w:rPr>
          <w:rFonts w:asciiTheme="majorBidi" w:hAnsiTheme="majorBidi" w:cstheme="majorBidi"/>
          <w:b/>
          <w:bCs/>
          <w:i/>
          <w:iCs/>
          <w:sz w:val="24"/>
          <w:szCs w:val="24"/>
          <w:shd w:val="clear" w:color="auto" w:fill="FFFFFF"/>
        </w:rPr>
        <w:t>).</w:t>
      </w:r>
      <w:r w:rsidR="00072993" w:rsidRPr="00E040D1">
        <w:rPr>
          <w:rFonts w:asciiTheme="majorBidi" w:hAnsiTheme="majorBidi" w:cstheme="majorBidi"/>
          <w:sz w:val="24"/>
          <w:szCs w:val="24"/>
          <w:shd w:val="clear" w:color="auto" w:fill="FFFFFF"/>
        </w:rPr>
        <w:t xml:space="preserve"> </w:t>
      </w:r>
      <w:r w:rsidRPr="00E040D1">
        <w:rPr>
          <w:rFonts w:asciiTheme="majorBidi" w:hAnsiTheme="majorBidi" w:cstheme="majorBidi"/>
          <w:sz w:val="24"/>
          <w:szCs w:val="24"/>
          <w:shd w:val="clear" w:color="auto" w:fill="FFFFFF"/>
        </w:rPr>
        <w:t>Personal protective equipment (PPE), like face masks, will help to prevent the spread of respiratory infections like COVID-19 Medical staff are most at risk of getting COVID-19 infection</w:t>
      </w:r>
      <w:r w:rsidR="00072993" w:rsidRPr="00E040D1">
        <w:rPr>
          <w:rFonts w:asciiTheme="majorBidi" w:hAnsiTheme="majorBidi" w:cstheme="majorBidi"/>
          <w:sz w:val="24"/>
          <w:szCs w:val="24"/>
          <w:shd w:val="clear" w:color="auto" w:fill="FFFFFF"/>
        </w:rPr>
        <w:t>,</w:t>
      </w:r>
      <w:r w:rsidRPr="00E040D1">
        <w:rPr>
          <w:rFonts w:asciiTheme="majorBidi" w:hAnsiTheme="majorBidi" w:cstheme="majorBidi"/>
          <w:sz w:val="24"/>
          <w:szCs w:val="24"/>
          <w:shd w:val="clear" w:color="auto" w:fill="FFFFFF"/>
        </w:rPr>
        <w:t xml:space="preserve"> to protect themselves and others from this deadly disease, </w:t>
      </w:r>
      <w:r w:rsidR="00F24679" w:rsidRPr="00E040D1">
        <w:rPr>
          <w:rFonts w:asciiTheme="majorBidi" w:hAnsiTheme="majorBidi" w:cstheme="majorBidi"/>
          <w:sz w:val="24"/>
          <w:szCs w:val="24"/>
          <w:shd w:val="clear" w:color="auto" w:fill="FFFFFF"/>
        </w:rPr>
        <w:t>they</w:t>
      </w:r>
      <w:r w:rsidRPr="00E040D1">
        <w:rPr>
          <w:rFonts w:asciiTheme="majorBidi" w:hAnsiTheme="majorBidi" w:cstheme="majorBidi"/>
          <w:sz w:val="24"/>
          <w:szCs w:val="24"/>
          <w:shd w:val="clear" w:color="auto" w:fill="FFFFFF"/>
        </w:rPr>
        <w:t xml:space="preserve"> should use PPE such as face masks (N95 or FFP3), eye protection (goggles), gowns, and gloves to nullify the risk of infection </w:t>
      </w:r>
      <w:r w:rsidRPr="00E040D1">
        <w:rPr>
          <w:rFonts w:asciiTheme="majorBidi" w:hAnsiTheme="majorBidi" w:cstheme="majorBidi"/>
          <w:b/>
          <w:bCs/>
          <w:i/>
          <w:iCs/>
          <w:sz w:val="24"/>
          <w:szCs w:val="24"/>
          <w:shd w:val="clear" w:color="auto" w:fill="FFFFFF"/>
        </w:rPr>
        <w:t>(</w:t>
      </w:r>
      <w:r w:rsidR="00360C11" w:rsidRPr="00E040D1">
        <w:rPr>
          <w:rFonts w:asciiTheme="majorBidi" w:hAnsiTheme="majorBidi" w:cstheme="majorBidi"/>
          <w:b/>
          <w:bCs/>
          <w:i/>
          <w:iCs/>
          <w:sz w:val="24"/>
          <w:szCs w:val="24"/>
          <w:shd w:val="clear" w:color="auto" w:fill="FFFFFF"/>
        </w:rPr>
        <w:t>1</w:t>
      </w:r>
      <w:r w:rsidR="00F24679" w:rsidRPr="00E040D1">
        <w:rPr>
          <w:rFonts w:asciiTheme="majorBidi" w:hAnsiTheme="majorBidi" w:cstheme="majorBidi"/>
          <w:b/>
          <w:bCs/>
          <w:i/>
          <w:iCs/>
          <w:sz w:val="24"/>
          <w:szCs w:val="24"/>
          <w:shd w:val="clear" w:color="auto" w:fill="FFFFFF"/>
        </w:rPr>
        <w:t>8</w:t>
      </w:r>
      <w:r w:rsidR="00037897" w:rsidRPr="00E040D1">
        <w:rPr>
          <w:rFonts w:asciiTheme="majorBidi" w:hAnsiTheme="majorBidi" w:cstheme="majorBidi"/>
          <w:b/>
          <w:bCs/>
          <w:i/>
          <w:iCs/>
          <w:sz w:val="24"/>
          <w:szCs w:val="24"/>
          <w:shd w:val="clear" w:color="auto" w:fill="FFFFFF"/>
        </w:rPr>
        <w:t>).</w:t>
      </w:r>
    </w:p>
    <w:p w14:paraId="76FB2195" w14:textId="483BC8C7" w:rsidR="00065B20" w:rsidRPr="00E040D1" w:rsidRDefault="00065B20" w:rsidP="00E040D1">
      <w:pPr>
        <w:pStyle w:val="NormalWeb"/>
        <w:shd w:val="clear" w:color="auto" w:fill="FFFFFF"/>
        <w:spacing w:before="240" w:beforeAutospacing="0" w:after="240" w:afterAutospacing="0" w:line="276" w:lineRule="auto"/>
        <w:jc w:val="both"/>
        <w:rPr>
          <w:rFonts w:asciiTheme="majorBidi" w:hAnsiTheme="majorBidi" w:cstheme="majorBidi"/>
        </w:rPr>
      </w:pPr>
      <w:r w:rsidRPr="00E040D1">
        <w:rPr>
          <w:rFonts w:asciiTheme="majorBidi" w:hAnsiTheme="majorBidi" w:cstheme="majorBidi"/>
        </w:rPr>
        <w:t xml:space="preserve">Corticosteroids (Cs) are hormone mediators produced by adrenal glands cortex that are categorized into glucocorticoids, </w:t>
      </w:r>
      <w:r w:rsidR="00CC3A77" w:rsidRPr="00E040D1">
        <w:rPr>
          <w:rFonts w:asciiTheme="majorBidi" w:hAnsiTheme="majorBidi" w:cstheme="majorBidi"/>
        </w:rPr>
        <w:t>mineralocorticoids,</w:t>
      </w:r>
      <w:r w:rsidRPr="00E040D1">
        <w:rPr>
          <w:rFonts w:asciiTheme="majorBidi" w:hAnsiTheme="majorBidi" w:cstheme="majorBidi"/>
        </w:rPr>
        <w:t xml:space="preserve"> and androgenic sex hormone. Glucocorticoids (GCs) are a group of drugs structurally and pharmacologically like the endogenous hormone cortisol with various</w:t>
      </w:r>
      <w:r w:rsidRPr="00E040D1">
        <w:rPr>
          <w:rFonts w:asciiTheme="majorBidi" w:hAnsiTheme="majorBidi" w:cstheme="majorBidi"/>
          <w:b/>
          <w:bCs/>
          <w:i/>
          <w:iCs/>
        </w:rPr>
        <w:t>.</w:t>
      </w:r>
      <w:r w:rsidRPr="00E040D1">
        <w:rPr>
          <w:rFonts w:asciiTheme="majorBidi" w:eastAsia="Calibri" w:hAnsiTheme="majorBidi" w:cstheme="majorBidi"/>
          <w:shd w:val="clear" w:color="auto" w:fill="FFFFFF"/>
        </w:rPr>
        <w:t xml:space="preserve"> </w:t>
      </w:r>
      <w:r w:rsidRPr="00E040D1">
        <w:rPr>
          <w:rFonts w:asciiTheme="majorBidi" w:hAnsiTheme="majorBidi" w:cstheme="majorBidi"/>
        </w:rPr>
        <w:t> While mineralocorticoids regulate electrolytes and water balance</w:t>
      </w:r>
      <w:r w:rsidR="009C7297" w:rsidRPr="00E040D1">
        <w:rPr>
          <w:rFonts w:asciiTheme="majorBidi" w:hAnsiTheme="majorBidi" w:cstheme="majorBidi"/>
        </w:rPr>
        <w:t>.</w:t>
      </w:r>
      <w:r w:rsidR="000222C0" w:rsidRPr="00E040D1">
        <w:rPr>
          <w:rFonts w:asciiTheme="majorBidi" w:hAnsiTheme="majorBidi" w:cstheme="majorBidi"/>
        </w:rPr>
        <w:t>They</w:t>
      </w:r>
      <w:r w:rsidRPr="00E040D1">
        <w:rPr>
          <w:rFonts w:asciiTheme="majorBidi" w:hAnsiTheme="majorBidi" w:cstheme="majorBidi"/>
        </w:rPr>
        <w:t xml:space="preserve"> have both endocrine and nonendocrine indications with potent anti-inflammatory and immunosuppressive effects</w:t>
      </w:r>
      <w:r w:rsidRPr="00E040D1">
        <w:rPr>
          <w:rFonts w:asciiTheme="majorBidi" w:hAnsiTheme="majorBidi" w:cstheme="majorBidi"/>
          <w:b/>
          <w:bCs/>
          <w:i/>
          <w:iCs/>
        </w:rPr>
        <w:t xml:space="preserve"> (</w:t>
      </w:r>
      <w:r w:rsidR="00360C11" w:rsidRPr="00E040D1">
        <w:rPr>
          <w:rFonts w:asciiTheme="majorBidi" w:hAnsiTheme="majorBidi" w:cstheme="majorBidi"/>
          <w:b/>
          <w:bCs/>
          <w:i/>
          <w:iCs/>
        </w:rPr>
        <w:t>19</w:t>
      </w:r>
      <w:r w:rsidRPr="00E040D1">
        <w:rPr>
          <w:rFonts w:asciiTheme="majorBidi" w:hAnsiTheme="majorBidi" w:cstheme="majorBidi"/>
          <w:b/>
          <w:bCs/>
          <w:i/>
          <w:iCs/>
        </w:rPr>
        <w:t xml:space="preserve">). </w:t>
      </w:r>
      <w:r w:rsidRPr="00E040D1">
        <w:rPr>
          <w:rFonts w:asciiTheme="majorBidi" w:hAnsiTheme="majorBidi" w:cstheme="majorBidi"/>
        </w:rPr>
        <w:t>Glucocorticoids (cortisol in man) are released in a circadian manner, in response to physiological stress. The circadian profile is regulated by the hypothalamic-pituitary-adrenal (HPA) axis</w:t>
      </w:r>
      <w:r w:rsidR="004D0288" w:rsidRPr="00E040D1">
        <w:rPr>
          <w:rFonts w:asciiTheme="majorBidi" w:hAnsiTheme="majorBidi" w:cstheme="majorBidi"/>
        </w:rPr>
        <w:t xml:space="preserve"> to </w:t>
      </w:r>
      <w:r w:rsidRPr="00E040D1">
        <w:rPr>
          <w:rFonts w:asciiTheme="majorBidi" w:hAnsiTheme="majorBidi" w:cstheme="majorBidi"/>
        </w:rPr>
        <w:t xml:space="preserve">release corticotrophin-releasing hormone (CRH) and arginine vasopressin (AVP), that activate corticotrophin cells to secrete (ACTH) into </w:t>
      </w:r>
      <w:r w:rsidRPr="00E040D1">
        <w:rPr>
          <w:rFonts w:asciiTheme="majorBidi" w:hAnsiTheme="majorBidi" w:cstheme="majorBidi"/>
        </w:rPr>
        <w:lastRenderedPageBreak/>
        <w:t xml:space="preserve">the general circulation. Subsequently, ACTH acts on the adrenal cortex to stimulate the synthesis and release of glucocorticoids </w:t>
      </w:r>
      <w:r w:rsidRPr="00E040D1">
        <w:rPr>
          <w:rFonts w:asciiTheme="majorBidi" w:hAnsiTheme="majorBidi" w:cstheme="majorBidi"/>
          <w:b/>
          <w:bCs/>
          <w:i/>
          <w:iCs/>
        </w:rPr>
        <w:t>(</w:t>
      </w:r>
      <w:r w:rsidR="00360C11" w:rsidRPr="00E040D1">
        <w:rPr>
          <w:rFonts w:asciiTheme="majorBidi" w:hAnsiTheme="majorBidi" w:cstheme="majorBidi"/>
          <w:b/>
          <w:bCs/>
          <w:i/>
          <w:iCs/>
        </w:rPr>
        <w:t>20</w:t>
      </w:r>
      <w:r w:rsidRPr="00E040D1">
        <w:rPr>
          <w:rFonts w:asciiTheme="majorBidi" w:hAnsiTheme="majorBidi" w:cstheme="majorBidi"/>
          <w:b/>
          <w:bCs/>
          <w:i/>
          <w:iCs/>
        </w:rPr>
        <w:t xml:space="preserve">). </w:t>
      </w:r>
      <w:r w:rsidRPr="00E040D1">
        <w:rPr>
          <w:rFonts w:asciiTheme="majorBidi" w:hAnsiTheme="majorBidi" w:cstheme="majorBidi"/>
          <w:shd w:val="clear" w:color="auto" w:fill="FFFFFF"/>
        </w:rPr>
        <w:t xml:space="preserve">Serum cortisol concentrations peak in the mornings and are lowest at night. Dexamethasone and betamethasone are long acting with the highest glucocorticoid efficacy with a biological half-life of 36 to 54 hours. Cortisone and cortisol are short acting with a biological half-life of under 12 hours and are not frequently used. Prednisone, prednisolone, methylprednisolone, and triamcinolone are intermediate acting with a biological half-life of 18 to 36 hours </w:t>
      </w:r>
      <w:r w:rsidRPr="00E040D1">
        <w:rPr>
          <w:rFonts w:asciiTheme="majorBidi" w:hAnsiTheme="majorBidi" w:cstheme="majorBidi"/>
          <w:b/>
          <w:bCs/>
          <w:i/>
          <w:iCs/>
          <w:shd w:val="clear" w:color="auto" w:fill="FFFFFF"/>
        </w:rPr>
        <w:t>(</w:t>
      </w:r>
      <w:r w:rsidR="009872EF" w:rsidRPr="00E040D1">
        <w:rPr>
          <w:rFonts w:asciiTheme="majorBidi" w:hAnsiTheme="majorBidi" w:cstheme="majorBidi"/>
          <w:b/>
          <w:bCs/>
          <w:i/>
          <w:iCs/>
          <w:shd w:val="clear" w:color="auto" w:fill="FFFFFF"/>
        </w:rPr>
        <w:t>21</w:t>
      </w:r>
      <w:r w:rsidRPr="00E040D1">
        <w:rPr>
          <w:rFonts w:asciiTheme="majorBidi" w:hAnsiTheme="majorBidi" w:cstheme="majorBidi"/>
          <w:b/>
          <w:bCs/>
          <w:i/>
          <w:iCs/>
          <w:shd w:val="clear" w:color="auto" w:fill="FFFFFF"/>
        </w:rPr>
        <w:t>).</w:t>
      </w:r>
      <w:r w:rsidR="000222C0" w:rsidRPr="00E040D1">
        <w:rPr>
          <w:rFonts w:asciiTheme="majorBidi" w:hAnsiTheme="majorBidi" w:cstheme="majorBidi"/>
          <w:b/>
          <w:bCs/>
          <w:i/>
          <w:iCs/>
          <w:shd w:val="clear" w:color="auto" w:fill="FFFFFF"/>
        </w:rPr>
        <w:t xml:space="preserve"> </w:t>
      </w:r>
      <w:r w:rsidRPr="00E040D1">
        <w:rPr>
          <w:rFonts w:asciiTheme="majorBidi" w:hAnsiTheme="majorBidi" w:cstheme="majorBidi"/>
        </w:rPr>
        <w:t>The most common GC-associated adverse effects noted in adults includes Osteoporosis, fractures, and osteonecrosis</w:t>
      </w:r>
      <w:r w:rsidR="00493B2D" w:rsidRPr="00E040D1">
        <w:rPr>
          <w:rFonts w:asciiTheme="majorBidi" w:hAnsiTheme="majorBidi" w:cstheme="majorBidi"/>
        </w:rPr>
        <w:t xml:space="preserve">, </w:t>
      </w:r>
      <w:r w:rsidRPr="00E040D1">
        <w:rPr>
          <w:rFonts w:asciiTheme="majorBidi" w:hAnsiTheme="majorBidi" w:cstheme="majorBidi"/>
          <w:shd w:val="clear" w:color="auto" w:fill="FFFFFF"/>
        </w:rPr>
        <w:t xml:space="preserve">Adrenal </w:t>
      </w:r>
      <w:r w:rsidR="00493B2D" w:rsidRPr="00E040D1">
        <w:rPr>
          <w:rFonts w:asciiTheme="majorBidi" w:hAnsiTheme="majorBidi" w:cstheme="majorBidi"/>
          <w:shd w:val="clear" w:color="auto" w:fill="FFFFFF"/>
        </w:rPr>
        <w:t>suppression</w:t>
      </w:r>
      <w:r w:rsidR="00493B2D" w:rsidRPr="00E040D1">
        <w:rPr>
          <w:rFonts w:asciiTheme="majorBidi" w:hAnsiTheme="majorBidi" w:cstheme="majorBidi"/>
          <w:i/>
          <w:iCs/>
          <w:shd w:val="clear" w:color="auto" w:fill="FFFFFF"/>
        </w:rPr>
        <w:t>,</w:t>
      </w:r>
      <w:r w:rsidR="00493B2D" w:rsidRPr="00E040D1">
        <w:rPr>
          <w:rFonts w:asciiTheme="majorBidi" w:hAnsiTheme="majorBidi" w:cstheme="majorBidi"/>
          <w:shd w:val="clear" w:color="auto" w:fill="FFFFFF"/>
        </w:rPr>
        <w:t xml:space="preserve"> Cushingoid</w:t>
      </w:r>
      <w:r w:rsidRPr="00E040D1">
        <w:rPr>
          <w:rFonts w:asciiTheme="majorBidi" w:hAnsiTheme="majorBidi" w:cstheme="majorBidi"/>
          <w:shd w:val="clear" w:color="auto" w:fill="FFFFFF"/>
        </w:rPr>
        <w:t xml:space="preserve"> features,</w:t>
      </w:r>
      <w:r w:rsidRPr="00E040D1">
        <w:rPr>
          <w:rFonts w:asciiTheme="majorBidi" w:hAnsiTheme="majorBidi" w:cstheme="majorBidi"/>
          <w:i/>
          <w:iCs/>
          <w:shd w:val="clear" w:color="auto" w:fill="FFFFFF"/>
        </w:rPr>
        <w:t xml:space="preserve"> </w:t>
      </w:r>
      <w:r w:rsidRPr="00E040D1">
        <w:rPr>
          <w:rFonts w:asciiTheme="majorBidi" w:hAnsiTheme="majorBidi" w:cstheme="majorBidi"/>
        </w:rPr>
        <w:t>Hyperglycemia and diabetes</w:t>
      </w:r>
      <w:r w:rsidR="00493B2D" w:rsidRPr="00E040D1">
        <w:rPr>
          <w:rFonts w:asciiTheme="majorBidi" w:hAnsiTheme="majorBidi" w:cstheme="majorBidi"/>
        </w:rPr>
        <w:t xml:space="preserve">, </w:t>
      </w:r>
      <w:r w:rsidRPr="00E040D1">
        <w:rPr>
          <w:rFonts w:asciiTheme="majorBidi" w:hAnsiTheme="majorBidi" w:cstheme="majorBidi"/>
          <w:shd w:val="clear" w:color="auto" w:fill="FFFFFF"/>
        </w:rPr>
        <w:t>Myopath</w:t>
      </w:r>
      <w:r w:rsidR="00493B2D" w:rsidRPr="00E040D1">
        <w:rPr>
          <w:rFonts w:asciiTheme="majorBidi" w:hAnsiTheme="majorBidi" w:cstheme="majorBidi"/>
          <w:shd w:val="clear" w:color="auto" w:fill="FFFFFF"/>
        </w:rPr>
        <w:t>y</w:t>
      </w:r>
      <w:r w:rsidR="00493B2D" w:rsidRPr="00E040D1">
        <w:rPr>
          <w:rFonts w:asciiTheme="majorBidi" w:hAnsiTheme="majorBidi" w:cstheme="majorBidi"/>
          <w:i/>
          <w:iCs/>
          <w:shd w:val="clear" w:color="auto" w:fill="FFFFFF"/>
        </w:rPr>
        <w:t xml:space="preserve">, </w:t>
      </w:r>
      <w:r w:rsidR="00493B2D" w:rsidRPr="00E040D1">
        <w:rPr>
          <w:rFonts w:asciiTheme="majorBidi" w:hAnsiTheme="majorBidi" w:cstheme="majorBidi"/>
        </w:rPr>
        <w:t>Infections</w:t>
      </w:r>
      <w:r w:rsidR="00493B2D" w:rsidRPr="00E040D1">
        <w:rPr>
          <w:rFonts w:asciiTheme="majorBidi" w:hAnsiTheme="majorBidi" w:cstheme="majorBidi"/>
          <w:i/>
          <w:iCs/>
          <w:shd w:val="clear" w:color="auto" w:fill="FFFFFF"/>
        </w:rPr>
        <w:t>,</w:t>
      </w:r>
      <w:r w:rsidR="00493B2D" w:rsidRPr="00E040D1">
        <w:rPr>
          <w:rFonts w:asciiTheme="majorBidi" w:hAnsiTheme="majorBidi" w:cstheme="majorBidi"/>
          <w:shd w:val="clear" w:color="auto" w:fill="FFFFFF"/>
        </w:rPr>
        <w:t xml:space="preserve"> Glaucoma</w:t>
      </w:r>
      <w:r w:rsidRPr="00E040D1">
        <w:rPr>
          <w:rFonts w:asciiTheme="majorBidi" w:hAnsiTheme="majorBidi" w:cstheme="majorBidi"/>
          <w:shd w:val="clear" w:color="auto" w:fill="FFFFFF"/>
        </w:rPr>
        <w:t xml:space="preserve"> and cataracts</w:t>
      </w:r>
      <w:r w:rsidR="00493B2D" w:rsidRPr="00E040D1">
        <w:rPr>
          <w:rFonts w:asciiTheme="majorBidi" w:hAnsiTheme="majorBidi" w:cstheme="majorBidi"/>
          <w:i/>
          <w:iCs/>
          <w:shd w:val="clear" w:color="auto" w:fill="FFFFFF"/>
        </w:rPr>
        <w:t xml:space="preserve">, </w:t>
      </w:r>
      <w:r w:rsidRPr="00E040D1">
        <w:rPr>
          <w:rFonts w:asciiTheme="majorBidi" w:hAnsiTheme="majorBidi" w:cstheme="majorBidi"/>
        </w:rPr>
        <w:t>Gastrointestinal</w:t>
      </w:r>
      <w:r w:rsidR="00493B2D" w:rsidRPr="00E040D1">
        <w:rPr>
          <w:rFonts w:asciiTheme="majorBidi" w:hAnsiTheme="majorBidi" w:cstheme="majorBidi"/>
        </w:rPr>
        <w:t xml:space="preserve">, </w:t>
      </w:r>
      <w:r w:rsidRPr="00E040D1">
        <w:rPr>
          <w:rFonts w:asciiTheme="majorBidi" w:hAnsiTheme="majorBidi" w:cstheme="majorBidi"/>
        </w:rPr>
        <w:t>Cardiovascular</w:t>
      </w:r>
      <w:r w:rsidR="00493B2D" w:rsidRPr="00E040D1">
        <w:rPr>
          <w:rFonts w:asciiTheme="majorBidi" w:hAnsiTheme="majorBidi" w:cstheme="majorBidi"/>
        </w:rPr>
        <w:t xml:space="preserve"> events, and </w:t>
      </w:r>
      <w:r w:rsidRPr="00E040D1">
        <w:rPr>
          <w:rFonts w:asciiTheme="majorBidi" w:hAnsiTheme="majorBidi" w:cstheme="majorBidi"/>
        </w:rPr>
        <w:t xml:space="preserve">Neuropsychiatric Adverse Effects, </w:t>
      </w:r>
      <w:r w:rsidRPr="00E040D1">
        <w:rPr>
          <w:rFonts w:asciiTheme="majorBidi" w:hAnsiTheme="majorBidi" w:cstheme="majorBidi"/>
          <w:b/>
          <w:bCs/>
          <w:i/>
          <w:iCs/>
        </w:rPr>
        <w:t>(</w:t>
      </w:r>
      <w:r w:rsidR="009872EF" w:rsidRPr="00E040D1">
        <w:rPr>
          <w:rFonts w:asciiTheme="majorBidi" w:hAnsiTheme="majorBidi" w:cstheme="majorBidi"/>
          <w:b/>
          <w:bCs/>
          <w:i/>
          <w:iCs/>
          <w:shd w:val="clear" w:color="auto" w:fill="FFFFFF"/>
        </w:rPr>
        <w:t>22</w:t>
      </w:r>
      <w:r w:rsidRPr="00E040D1">
        <w:rPr>
          <w:rFonts w:asciiTheme="majorBidi" w:hAnsiTheme="majorBidi" w:cstheme="majorBidi"/>
          <w:b/>
          <w:bCs/>
          <w:i/>
          <w:iCs/>
          <w:shd w:val="clear" w:color="auto" w:fill="FFFFFF"/>
        </w:rPr>
        <w:t>)</w:t>
      </w:r>
      <w:r w:rsidRPr="00E040D1">
        <w:rPr>
          <w:rFonts w:asciiTheme="majorBidi" w:hAnsiTheme="majorBidi" w:cstheme="majorBidi"/>
        </w:rPr>
        <w:t xml:space="preserve">. Acute respiratory distress syndrome happened in COVID-19 not just because of uncontrolled viral replication but also because of an uncontrolled immune reaction from the host. That’s why antiviral and anti-inflammatory treatments have become an increasing concern for clinicians </w:t>
      </w:r>
      <w:r w:rsidRPr="00E040D1">
        <w:rPr>
          <w:rFonts w:asciiTheme="majorBidi" w:hAnsiTheme="majorBidi" w:cstheme="majorBidi"/>
          <w:b/>
          <w:bCs/>
          <w:i/>
          <w:iCs/>
        </w:rPr>
        <w:t>(</w:t>
      </w:r>
      <w:r w:rsidR="009872EF" w:rsidRPr="00E040D1">
        <w:rPr>
          <w:rFonts w:asciiTheme="majorBidi" w:hAnsiTheme="majorBidi" w:cstheme="majorBidi"/>
          <w:b/>
          <w:bCs/>
          <w:i/>
          <w:iCs/>
        </w:rPr>
        <w:t>23</w:t>
      </w:r>
      <w:r w:rsidR="00FC44F5" w:rsidRPr="00E040D1">
        <w:rPr>
          <w:rFonts w:asciiTheme="majorBidi" w:hAnsiTheme="majorBidi" w:cstheme="majorBidi"/>
        </w:rPr>
        <w:t>)</w:t>
      </w:r>
      <w:r w:rsidRPr="00E040D1">
        <w:rPr>
          <w:rFonts w:asciiTheme="majorBidi" w:hAnsiTheme="majorBidi" w:cstheme="majorBidi"/>
          <w:b/>
          <w:bCs/>
          <w:i/>
          <w:iCs/>
        </w:rPr>
        <w:t>.</w:t>
      </w:r>
      <w:r w:rsidR="00445C6D" w:rsidRPr="00E040D1">
        <w:rPr>
          <w:rFonts w:asciiTheme="majorBidi" w:hAnsiTheme="majorBidi" w:cstheme="majorBidi"/>
          <w:b/>
          <w:bCs/>
          <w:i/>
          <w:iCs/>
        </w:rPr>
        <w:t xml:space="preserve"> </w:t>
      </w:r>
      <w:r w:rsidRPr="00E040D1">
        <w:rPr>
          <w:rFonts w:asciiTheme="majorBidi" w:hAnsiTheme="majorBidi" w:cstheme="majorBidi"/>
        </w:rPr>
        <w:t xml:space="preserve">The use of corticosteroids in covid 19 to reduce inflammation is still controversial </w:t>
      </w:r>
      <w:r w:rsidRPr="00E040D1">
        <w:rPr>
          <w:rFonts w:asciiTheme="majorBidi" w:hAnsiTheme="majorBidi" w:cstheme="majorBidi"/>
          <w:b/>
          <w:bCs/>
          <w:i/>
          <w:iCs/>
        </w:rPr>
        <w:t>(</w:t>
      </w:r>
      <w:r w:rsidR="009872EF" w:rsidRPr="00E040D1">
        <w:rPr>
          <w:rFonts w:asciiTheme="majorBidi" w:hAnsiTheme="majorBidi" w:cstheme="majorBidi"/>
          <w:b/>
          <w:bCs/>
          <w:i/>
          <w:iCs/>
        </w:rPr>
        <w:t>24</w:t>
      </w:r>
      <w:r w:rsidRPr="00E040D1">
        <w:rPr>
          <w:rFonts w:asciiTheme="majorBidi" w:hAnsiTheme="majorBidi" w:cstheme="majorBidi"/>
          <w:b/>
          <w:bCs/>
          <w:i/>
          <w:iCs/>
        </w:rPr>
        <w:t>).</w:t>
      </w:r>
      <w:r w:rsidRPr="00E040D1">
        <w:rPr>
          <w:rFonts w:asciiTheme="majorBidi" w:hAnsiTheme="majorBidi" w:cstheme="majorBidi"/>
        </w:rPr>
        <w:t xml:space="preserve"> Systemic corticosteroids are used to treat people with COVID-19 because they counter hyper-inflammation. Existing evidence suggest a slight benefit on mortality.  It is one of the few treatment options for COVID-19. Severe patients present with respiratory distress associated with systemic hyperinflammatory syndrome, the so-called “cytokine storm”. Patients showing this are at </w:t>
      </w:r>
      <w:r w:rsidRPr="00E040D1">
        <w:rPr>
          <w:rFonts w:asciiTheme="majorBidi" w:hAnsiTheme="majorBidi" w:cstheme="majorBidi"/>
        </w:rPr>
        <w:lastRenderedPageBreak/>
        <w:t>higher risk to the most advanced stage of the disease, requiring ICU admission or invasive mechanical ventilation (IMV). Consequently, immunosuppressive agents are presently the cornerstone of treatment regimens for severe COVID-19</w:t>
      </w:r>
      <w:r w:rsidR="005A0176" w:rsidRPr="00E040D1">
        <w:rPr>
          <w:rFonts w:asciiTheme="majorBidi" w:hAnsiTheme="majorBidi" w:cstheme="majorBidi"/>
        </w:rPr>
        <w:t xml:space="preserve">, </w:t>
      </w:r>
      <w:r w:rsidRPr="00E040D1">
        <w:rPr>
          <w:rFonts w:asciiTheme="majorBidi" w:hAnsiTheme="majorBidi" w:cstheme="majorBidi"/>
        </w:rPr>
        <w:t xml:space="preserve">reduce inflammatory responses, treatment failure, and the time to clinical stability in community-acquired pneumonia without major adverse effects </w:t>
      </w:r>
      <w:r w:rsidRPr="00E040D1">
        <w:rPr>
          <w:rFonts w:asciiTheme="majorBidi" w:hAnsiTheme="majorBidi" w:cstheme="majorBidi"/>
          <w:b/>
          <w:bCs/>
          <w:i/>
          <w:iCs/>
        </w:rPr>
        <w:t>(</w:t>
      </w:r>
      <w:r w:rsidR="009872EF" w:rsidRPr="00E040D1">
        <w:rPr>
          <w:rFonts w:asciiTheme="majorBidi" w:hAnsiTheme="majorBidi" w:cstheme="majorBidi"/>
          <w:b/>
          <w:bCs/>
          <w:i/>
          <w:iCs/>
        </w:rPr>
        <w:t>25</w:t>
      </w:r>
      <w:r w:rsidRPr="00E040D1">
        <w:rPr>
          <w:rFonts w:asciiTheme="majorBidi" w:hAnsiTheme="majorBidi" w:cstheme="majorBidi"/>
          <w:b/>
          <w:bCs/>
          <w:i/>
          <w:iCs/>
        </w:rPr>
        <w:t xml:space="preserve">). </w:t>
      </w:r>
      <w:r w:rsidRPr="00E040D1">
        <w:rPr>
          <w:rFonts w:asciiTheme="majorBidi" w:hAnsiTheme="majorBidi" w:cstheme="majorBidi"/>
        </w:rPr>
        <w:t>Also, early administration of dexamethasone shortened mechanical ventilation time and overall mortality for patients with moderate-to-severe ARDS</w:t>
      </w:r>
      <w:r w:rsidR="005A0176" w:rsidRPr="00E040D1">
        <w:rPr>
          <w:rFonts w:asciiTheme="majorBidi" w:hAnsiTheme="majorBidi" w:cstheme="majorBidi"/>
        </w:rPr>
        <w:t xml:space="preserve">. </w:t>
      </w:r>
      <w:r w:rsidRPr="00E040D1">
        <w:rPr>
          <w:rFonts w:asciiTheme="majorBidi" w:hAnsiTheme="majorBidi" w:cstheme="majorBidi"/>
        </w:rPr>
        <w:t>Corticosteroid therapy was associated with improved clinical outcomes in patients with severe COVID-</w:t>
      </w:r>
      <w:r w:rsidR="005A0176" w:rsidRPr="00E040D1">
        <w:rPr>
          <w:rFonts w:asciiTheme="majorBidi" w:hAnsiTheme="majorBidi" w:cstheme="majorBidi"/>
        </w:rPr>
        <w:t>19. It</w:t>
      </w:r>
      <w:r w:rsidRPr="00E040D1">
        <w:rPr>
          <w:rFonts w:asciiTheme="majorBidi" w:hAnsiTheme="majorBidi" w:cstheme="majorBidi"/>
        </w:rPr>
        <w:t xml:space="preserve"> reduced hospital length of stay and intensive care unit (ICU) stay. Chinese experts considered it prudent to administer short courses of corticosteroids at low-to-moderate doses for critically ill patients with COVID-19 as well as treatment with methylprednisolone decreased the risk of death for individuals with COVID-19 with ARDS </w:t>
      </w:r>
      <w:r w:rsidR="009872EF" w:rsidRPr="00E040D1">
        <w:rPr>
          <w:rFonts w:asciiTheme="majorBidi" w:hAnsiTheme="majorBidi" w:cstheme="majorBidi"/>
          <w:b/>
          <w:bCs/>
          <w:i/>
          <w:iCs/>
        </w:rPr>
        <w:t>(26</w:t>
      </w:r>
      <w:r w:rsidR="005A0176" w:rsidRPr="00E040D1">
        <w:rPr>
          <w:rFonts w:asciiTheme="majorBidi" w:hAnsiTheme="majorBidi" w:cstheme="majorBidi"/>
          <w:b/>
          <w:bCs/>
          <w:i/>
          <w:iCs/>
        </w:rPr>
        <w:t xml:space="preserve">). </w:t>
      </w:r>
      <w:r w:rsidRPr="00E040D1">
        <w:rPr>
          <w:rFonts w:asciiTheme="majorBidi" w:hAnsiTheme="majorBidi" w:cstheme="majorBidi"/>
        </w:rPr>
        <w:t>In addition</w:t>
      </w:r>
      <w:r w:rsidR="00FC44F5" w:rsidRPr="00E040D1">
        <w:rPr>
          <w:rFonts w:asciiTheme="majorBidi" w:hAnsiTheme="majorBidi" w:cstheme="majorBidi"/>
        </w:rPr>
        <w:t>,</w:t>
      </w:r>
      <w:r w:rsidRPr="00E040D1">
        <w:rPr>
          <w:rFonts w:asciiTheme="majorBidi" w:hAnsiTheme="majorBidi" w:cstheme="majorBidi"/>
        </w:rPr>
        <w:t xml:space="preserve"> the United Kingdom, indicated that the use of low-dose dexamethasone in ventilated COVID-19 patients, and to a lesser degree in patients in need of supplemental oxygen, reduced the mortality </w:t>
      </w:r>
      <w:r w:rsidRPr="00E040D1">
        <w:rPr>
          <w:rFonts w:asciiTheme="majorBidi" w:hAnsiTheme="majorBidi" w:cstheme="majorBidi"/>
          <w:b/>
          <w:bCs/>
          <w:i/>
          <w:iCs/>
        </w:rPr>
        <w:t>(</w:t>
      </w:r>
      <w:r w:rsidR="009872EF" w:rsidRPr="00E040D1">
        <w:rPr>
          <w:rFonts w:asciiTheme="majorBidi" w:hAnsiTheme="majorBidi" w:cstheme="majorBidi"/>
          <w:b/>
          <w:bCs/>
          <w:i/>
          <w:iCs/>
        </w:rPr>
        <w:t>27</w:t>
      </w:r>
      <w:r w:rsidRPr="00E040D1">
        <w:rPr>
          <w:rFonts w:asciiTheme="majorBidi" w:hAnsiTheme="majorBidi" w:cstheme="majorBidi"/>
          <w:b/>
          <w:bCs/>
          <w:i/>
          <w:iCs/>
        </w:rPr>
        <w:t>).</w:t>
      </w:r>
      <w:r w:rsidRPr="00E040D1">
        <w:rPr>
          <w:rFonts w:asciiTheme="majorBidi" w:hAnsiTheme="majorBidi" w:cstheme="majorBidi"/>
        </w:rPr>
        <w:t xml:space="preserve"> However, evidence for methylprednisolone, has been limited to date </w:t>
      </w:r>
      <w:r w:rsidR="005A0176" w:rsidRPr="00E040D1">
        <w:rPr>
          <w:rFonts w:asciiTheme="majorBidi" w:hAnsiTheme="majorBidi" w:cstheme="majorBidi"/>
        </w:rPr>
        <w:t>in</w:t>
      </w:r>
      <w:r w:rsidRPr="00E040D1">
        <w:rPr>
          <w:rFonts w:asciiTheme="majorBidi" w:hAnsiTheme="majorBidi" w:cstheme="majorBidi"/>
        </w:rPr>
        <w:t xml:space="preserve"> most RCTs, this agent has been the primary corticosteroids used in the intensive care unit (ICU) management of ARDS</w:t>
      </w:r>
      <w:r w:rsidR="005A0176" w:rsidRPr="00E040D1">
        <w:rPr>
          <w:rFonts w:asciiTheme="majorBidi" w:hAnsiTheme="majorBidi" w:cstheme="majorBidi"/>
          <w:b/>
          <w:bCs/>
          <w:i/>
          <w:iCs/>
        </w:rPr>
        <w:t xml:space="preserve">. </w:t>
      </w:r>
      <w:r w:rsidRPr="00E040D1">
        <w:rPr>
          <w:rFonts w:asciiTheme="majorBidi" w:hAnsiTheme="majorBidi" w:cstheme="majorBidi"/>
        </w:rPr>
        <w:t xml:space="preserve">Also, previous studies have shown the effectiveness of methylprednisolone on treating SARS disease than other corticosteroids, particularly dexamethasone </w:t>
      </w:r>
      <w:r w:rsidRPr="00E040D1">
        <w:rPr>
          <w:rFonts w:asciiTheme="majorBidi" w:hAnsiTheme="majorBidi" w:cstheme="majorBidi"/>
          <w:b/>
          <w:bCs/>
          <w:i/>
          <w:iCs/>
        </w:rPr>
        <w:t>(</w:t>
      </w:r>
      <w:r w:rsidR="009872EF" w:rsidRPr="00E040D1">
        <w:rPr>
          <w:rFonts w:asciiTheme="majorBidi" w:hAnsiTheme="majorBidi" w:cstheme="majorBidi"/>
          <w:b/>
          <w:bCs/>
          <w:i/>
          <w:iCs/>
        </w:rPr>
        <w:t>28</w:t>
      </w:r>
      <w:r w:rsidRPr="00E040D1">
        <w:rPr>
          <w:rFonts w:asciiTheme="majorBidi" w:hAnsiTheme="majorBidi" w:cstheme="majorBidi"/>
          <w:b/>
          <w:bCs/>
          <w:i/>
          <w:iCs/>
        </w:rPr>
        <w:t>).</w:t>
      </w:r>
    </w:p>
    <w:p w14:paraId="51C389B2" w14:textId="1CD8D99F" w:rsidR="00227F27" w:rsidRPr="00E040D1" w:rsidRDefault="00227F27" w:rsidP="00E040D1">
      <w:pPr>
        <w:spacing w:before="240" w:after="240" w:line="276" w:lineRule="auto"/>
        <w:jc w:val="both"/>
        <w:rPr>
          <w:rFonts w:asciiTheme="majorBidi" w:hAnsiTheme="majorBidi" w:cstheme="majorBidi"/>
          <w:b/>
          <w:bCs/>
          <w:i/>
          <w:iCs/>
          <w:sz w:val="24"/>
          <w:szCs w:val="24"/>
        </w:rPr>
      </w:pPr>
      <w:r w:rsidRPr="00E040D1">
        <w:rPr>
          <w:rFonts w:asciiTheme="majorBidi" w:hAnsiTheme="majorBidi" w:cstheme="majorBidi"/>
          <w:sz w:val="24"/>
          <w:szCs w:val="24"/>
        </w:rPr>
        <w:t xml:space="preserve">Acute respiratory distress syndrome (ARDS) is a common condition which is caused by </w:t>
      </w:r>
      <w:r w:rsidRPr="00E040D1">
        <w:rPr>
          <w:rFonts w:asciiTheme="majorBidi" w:hAnsiTheme="majorBidi" w:cstheme="majorBidi"/>
          <w:sz w:val="24"/>
          <w:szCs w:val="24"/>
        </w:rPr>
        <w:lastRenderedPageBreak/>
        <w:t>pulmonary and extra-pulmonary pathologies</w:t>
      </w:r>
      <w:r w:rsidR="00FC44F5" w:rsidRPr="00E040D1">
        <w:rPr>
          <w:rFonts w:asciiTheme="majorBidi" w:hAnsiTheme="majorBidi" w:cstheme="majorBidi"/>
          <w:sz w:val="24"/>
          <w:szCs w:val="24"/>
        </w:rPr>
        <w:t xml:space="preserve">, </w:t>
      </w:r>
      <w:r w:rsidRPr="00E040D1">
        <w:rPr>
          <w:rFonts w:asciiTheme="majorBidi" w:hAnsiTheme="majorBidi" w:cstheme="majorBidi"/>
          <w:sz w:val="24"/>
          <w:szCs w:val="24"/>
        </w:rPr>
        <w:t xml:space="preserve">with hypoxemia and bilateral pulmonary infiltrates </w:t>
      </w:r>
      <w:r w:rsidRPr="00E040D1">
        <w:rPr>
          <w:rFonts w:asciiTheme="majorBidi" w:hAnsiTheme="majorBidi" w:cstheme="majorBidi"/>
          <w:b/>
          <w:bCs/>
          <w:i/>
          <w:iCs/>
          <w:sz w:val="24"/>
          <w:szCs w:val="24"/>
        </w:rPr>
        <w:t>(</w:t>
      </w:r>
      <w:r w:rsidR="009872EF" w:rsidRPr="00E040D1">
        <w:rPr>
          <w:rFonts w:asciiTheme="majorBidi" w:hAnsiTheme="majorBidi" w:cstheme="majorBidi"/>
          <w:b/>
          <w:bCs/>
          <w:i/>
          <w:iCs/>
          <w:sz w:val="24"/>
          <w:szCs w:val="24"/>
        </w:rPr>
        <w:t>29</w:t>
      </w:r>
      <w:r w:rsidRPr="00E040D1">
        <w:rPr>
          <w:rFonts w:asciiTheme="majorBidi" w:hAnsiTheme="majorBidi" w:cstheme="majorBidi"/>
          <w:b/>
          <w:bCs/>
          <w:i/>
          <w:iCs/>
          <w:sz w:val="24"/>
          <w:szCs w:val="24"/>
        </w:rPr>
        <w:t>).</w:t>
      </w:r>
      <w:r w:rsidR="00FD2BF6" w:rsidRPr="00E040D1">
        <w:rPr>
          <w:rFonts w:asciiTheme="majorBidi" w:hAnsiTheme="majorBidi" w:cstheme="majorBidi"/>
          <w:b/>
          <w:bCs/>
          <w:i/>
          <w:iCs/>
          <w:sz w:val="24"/>
          <w:szCs w:val="24"/>
        </w:rPr>
        <w:t xml:space="preserve"> </w:t>
      </w:r>
      <w:r w:rsidRPr="00E040D1">
        <w:rPr>
          <w:rFonts w:asciiTheme="majorBidi" w:hAnsiTheme="majorBidi" w:cstheme="majorBidi"/>
          <w:sz w:val="24"/>
          <w:szCs w:val="24"/>
        </w:rPr>
        <w:t xml:space="preserve">ARDS is defined as an acute disorder that starts within 7 days of the inciting event and is characterized by bilateral lung infiltrates and severe progressive hypoxemia in the absence of any evidence of cardiogenic pulmonary </w:t>
      </w:r>
      <w:r w:rsidR="00FC44F5" w:rsidRPr="00E040D1">
        <w:rPr>
          <w:rFonts w:asciiTheme="majorBidi" w:hAnsiTheme="majorBidi" w:cstheme="majorBidi"/>
          <w:sz w:val="24"/>
          <w:szCs w:val="24"/>
        </w:rPr>
        <w:t>edema. The</w:t>
      </w:r>
      <w:r w:rsidRPr="00E040D1">
        <w:rPr>
          <w:rFonts w:asciiTheme="majorBidi" w:hAnsiTheme="majorBidi" w:cstheme="majorBidi"/>
          <w:sz w:val="24"/>
          <w:szCs w:val="24"/>
        </w:rPr>
        <w:t> definition of ARDS was updated in 2012 and is called the Berlin definition.</w:t>
      </w:r>
      <w:r w:rsidR="00FD2BF6" w:rsidRPr="00E040D1">
        <w:rPr>
          <w:rFonts w:asciiTheme="majorBidi" w:hAnsiTheme="majorBidi" w:cstheme="majorBidi"/>
          <w:b/>
          <w:bCs/>
          <w:i/>
          <w:iCs/>
          <w:sz w:val="24"/>
          <w:szCs w:val="24"/>
        </w:rPr>
        <w:t xml:space="preserve"> </w:t>
      </w:r>
      <w:r w:rsidRPr="00E040D1">
        <w:rPr>
          <w:rFonts w:asciiTheme="majorBidi" w:hAnsiTheme="majorBidi" w:cstheme="majorBidi"/>
          <w:sz w:val="24"/>
          <w:szCs w:val="24"/>
        </w:rPr>
        <w:t>The underlying etiology of ARDS divides into pulmonary and extra-pulmonary causes. Commonest include bacteremia, sepsis, trauma, burns, reaction to massive transfusion, pneumonia, aspiration, severe pancreatitis, near drowning and fat embolism. Patients with increased severity scores for critical illness</w:t>
      </w:r>
      <w:r w:rsidR="00FD2BF6" w:rsidRPr="00E040D1">
        <w:rPr>
          <w:rFonts w:asciiTheme="majorBidi" w:hAnsiTheme="majorBidi" w:cstheme="majorBidi"/>
          <w:sz w:val="24"/>
          <w:szCs w:val="24"/>
        </w:rPr>
        <w:t xml:space="preserve">, </w:t>
      </w:r>
      <w:r w:rsidRPr="00E040D1">
        <w:rPr>
          <w:rFonts w:asciiTheme="majorBidi" w:hAnsiTheme="majorBidi" w:cstheme="majorBidi"/>
          <w:sz w:val="24"/>
          <w:szCs w:val="24"/>
        </w:rPr>
        <w:t>(APACHE) II score) are more prone to develop ARDS manifestations</w:t>
      </w:r>
      <w:r w:rsidR="00FC44F5" w:rsidRPr="00E040D1">
        <w:rPr>
          <w:rFonts w:asciiTheme="majorBidi" w:hAnsiTheme="majorBidi" w:cstheme="majorBidi"/>
          <w:sz w:val="24"/>
          <w:szCs w:val="24"/>
        </w:rPr>
        <w:t xml:space="preserve">. </w:t>
      </w:r>
      <w:r w:rsidRPr="00E040D1">
        <w:rPr>
          <w:rFonts w:asciiTheme="majorBidi" w:hAnsiTheme="majorBidi" w:cstheme="majorBidi"/>
          <w:sz w:val="24"/>
          <w:szCs w:val="24"/>
        </w:rPr>
        <w:t xml:space="preserve">Risk factors for ARDS include, Advanced age, Female gender, Smoking, Alcohol use, Aortic vascular surgery, Cardiovascular surgery, and Traumatic brain injury </w:t>
      </w:r>
      <w:r w:rsidRPr="00E040D1">
        <w:rPr>
          <w:rFonts w:asciiTheme="majorBidi" w:hAnsiTheme="majorBidi" w:cstheme="majorBidi"/>
          <w:b/>
          <w:bCs/>
          <w:i/>
          <w:iCs/>
          <w:sz w:val="24"/>
          <w:szCs w:val="24"/>
        </w:rPr>
        <w:t>(</w:t>
      </w:r>
      <w:r w:rsidR="009872EF" w:rsidRPr="00E040D1">
        <w:rPr>
          <w:rFonts w:asciiTheme="majorBidi" w:hAnsiTheme="majorBidi" w:cstheme="majorBidi"/>
          <w:b/>
          <w:bCs/>
          <w:i/>
          <w:iCs/>
          <w:sz w:val="24"/>
          <w:szCs w:val="24"/>
        </w:rPr>
        <w:t>30</w:t>
      </w:r>
      <w:r w:rsidRPr="00E040D1">
        <w:rPr>
          <w:rFonts w:asciiTheme="majorBidi" w:hAnsiTheme="majorBidi" w:cstheme="majorBidi"/>
          <w:b/>
          <w:bCs/>
          <w:i/>
          <w:iCs/>
          <w:sz w:val="24"/>
          <w:szCs w:val="24"/>
        </w:rPr>
        <w:t>).</w:t>
      </w:r>
      <w:r w:rsidR="00FD2BF6" w:rsidRPr="00E040D1">
        <w:rPr>
          <w:rFonts w:asciiTheme="majorBidi" w:hAnsiTheme="majorBidi" w:cstheme="majorBidi"/>
          <w:b/>
          <w:bCs/>
          <w:i/>
          <w:iCs/>
          <w:sz w:val="24"/>
          <w:szCs w:val="24"/>
        </w:rPr>
        <w:t xml:space="preserve"> </w:t>
      </w:r>
      <w:r w:rsidRPr="00E040D1">
        <w:rPr>
          <w:rFonts w:asciiTheme="majorBidi" w:hAnsiTheme="majorBidi" w:cstheme="majorBidi"/>
          <w:sz w:val="24"/>
          <w:szCs w:val="24"/>
        </w:rPr>
        <w:t xml:space="preserve">The incidence of ARDS in the United States range from 64.2 to 78.9 cases/100,000 person-years. 25% of ARDS cases are initially classified as mild and 75% as moderate or severe. However, a third of the mild cases go on to progress to moderate or severe disease </w:t>
      </w:r>
      <w:r w:rsidRPr="00E040D1">
        <w:rPr>
          <w:rFonts w:asciiTheme="majorBidi" w:hAnsiTheme="majorBidi" w:cstheme="majorBidi"/>
          <w:b/>
          <w:bCs/>
          <w:i/>
          <w:iCs/>
          <w:sz w:val="24"/>
          <w:szCs w:val="24"/>
        </w:rPr>
        <w:t>(</w:t>
      </w:r>
      <w:r w:rsidR="009872EF" w:rsidRPr="00E040D1">
        <w:rPr>
          <w:rFonts w:asciiTheme="majorBidi" w:hAnsiTheme="majorBidi" w:cstheme="majorBidi"/>
          <w:b/>
          <w:bCs/>
          <w:i/>
          <w:iCs/>
          <w:sz w:val="24"/>
          <w:szCs w:val="24"/>
        </w:rPr>
        <w:t>31</w:t>
      </w:r>
      <w:r w:rsidRPr="00E040D1">
        <w:rPr>
          <w:rFonts w:asciiTheme="majorBidi" w:hAnsiTheme="majorBidi" w:cstheme="majorBidi"/>
          <w:b/>
          <w:bCs/>
          <w:i/>
          <w:iCs/>
          <w:sz w:val="24"/>
          <w:szCs w:val="24"/>
        </w:rPr>
        <w:t>).</w:t>
      </w:r>
      <w:r w:rsidRPr="00E040D1">
        <w:rPr>
          <w:rFonts w:asciiTheme="majorBidi" w:hAnsiTheme="majorBidi" w:cstheme="majorBidi"/>
          <w:sz w:val="24"/>
          <w:szCs w:val="24"/>
        </w:rPr>
        <w:t> Mortality rate decreased of 1.1% per year for the period 1994 through 2006. However, the overall pooled mortality rate for all the studies evaluated was 43%</w:t>
      </w:r>
      <w:r w:rsidR="00FD2BF6" w:rsidRPr="00E040D1">
        <w:rPr>
          <w:rFonts w:asciiTheme="majorBidi" w:hAnsiTheme="majorBidi" w:cstheme="majorBidi"/>
          <w:sz w:val="24"/>
          <w:szCs w:val="24"/>
        </w:rPr>
        <w:t xml:space="preserve">. </w:t>
      </w:r>
      <w:r w:rsidRPr="00E040D1">
        <w:rPr>
          <w:rFonts w:asciiTheme="majorBidi" w:hAnsiTheme="majorBidi" w:cstheme="majorBidi"/>
          <w:sz w:val="24"/>
          <w:szCs w:val="24"/>
        </w:rPr>
        <w:t>The mortality of ARDS is related to the severity of the disease; it is 27%, 32%, and 45% for mild, moderate, and severe disease, respectively</w:t>
      </w:r>
      <w:r w:rsidR="00FD2BF6" w:rsidRPr="00E040D1">
        <w:rPr>
          <w:rFonts w:asciiTheme="majorBidi" w:hAnsiTheme="majorBidi" w:cstheme="majorBidi"/>
          <w:sz w:val="24"/>
          <w:szCs w:val="24"/>
        </w:rPr>
        <w:t>.</w:t>
      </w:r>
      <w:r w:rsidRPr="00E040D1">
        <w:rPr>
          <w:rFonts w:asciiTheme="majorBidi" w:hAnsiTheme="majorBidi" w:cstheme="majorBidi"/>
          <w:sz w:val="24"/>
          <w:szCs w:val="24"/>
        </w:rPr>
        <w:t xml:space="preserve"> There are three distinct phases in the development of ARDS: exudative, proliferative and fibrotic phase. The first exudative phase that occurs over the </w:t>
      </w:r>
      <w:r w:rsidRPr="00E040D1">
        <w:rPr>
          <w:rFonts w:asciiTheme="majorBidi" w:hAnsiTheme="majorBidi" w:cstheme="majorBidi"/>
          <w:sz w:val="24"/>
          <w:szCs w:val="24"/>
        </w:rPr>
        <w:lastRenderedPageBreak/>
        <w:t xml:space="preserve">first 7 to 10 days occurred after lung exposure to injury </w:t>
      </w:r>
      <w:r w:rsidRPr="00E040D1">
        <w:rPr>
          <w:rFonts w:asciiTheme="majorBidi" w:hAnsiTheme="majorBidi" w:cstheme="majorBidi"/>
          <w:b/>
          <w:bCs/>
          <w:i/>
          <w:iCs/>
          <w:sz w:val="24"/>
          <w:szCs w:val="24"/>
        </w:rPr>
        <w:t>(</w:t>
      </w:r>
      <w:r w:rsidR="009872EF" w:rsidRPr="00E040D1">
        <w:rPr>
          <w:rFonts w:asciiTheme="majorBidi" w:hAnsiTheme="majorBidi" w:cstheme="majorBidi"/>
          <w:b/>
          <w:bCs/>
          <w:i/>
          <w:iCs/>
          <w:sz w:val="24"/>
          <w:szCs w:val="24"/>
        </w:rPr>
        <w:t>32</w:t>
      </w:r>
      <w:r w:rsidRPr="00E040D1">
        <w:rPr>
          <w:rFonts w:asciiTheme="majorBidi" w:hAnsiTheme="majorBidi" w:cstheme="majorBidi"/>
          <w:b/>
          <w:bCs/>
          <w:i/>
          <w:iCs/>
          <w:sz w:val="24"/>
          <w:szCs w:val="24"/>
        </w:rPr>
        <w:t>).</w:t>
      </w:r>
      <w:r w:rsidRPr="00E040D1">
        <w:rPr>
          <w:rFonts w:asciiTheme="majorBidi" w:hAnsiTheme="majorBidi" w:cstheme="majorBidi"/>
          <w:sz w:val="24"/>
          <w:szCs w:val="24"/>
        </w:rPr>
        <w:t xml:space="preserve"> In the second proliferative phase, the repair process takes place by restoration of epithelial and endothelial barriers and absorption of the intra-alveolar fluid</w:t>
      </w:r>
      <w:r w:rsidR="00FC44F5" w:rsidRPr="00E040D1">
        <w:rPr>
          <w:rFonts w:asciiTheme="majorBidi" w:hAnsiTheme="majorBidi" w:cstheme="majorBidi"/>
          <w:sz w:val="24"/>
          <w:szCs w:val="24"/>
        </w:rPr>
        <w:t xml:space="preserve"> </w:t>
      </w:r>
      <w:r w:rsidRPr="00E040D1">
        <w:rPr>
          <w:rFonts w:asciiTheme="majorBidi" w:hAnsiTheme="majorBidi" w:cstheme="majorBidi"/>
          <w:b/>
          <w:bCs/>
          <w:i/>
          <w:iCs/>
          <w:sz w:val="24"/>
          <w:szCs w:val="24"/>
        </w:rPr>
        <w:t>(</w:t>
      </w:r>
      <w:r w:rsidR="009872EF" w:rsidRPr="00E040D1">
        <w:rPr>
          <w:rFonts w:asciiTheme="majorBidi" w:hAnsiTheme="majorBidi" w:cstheme="majorBidi"/>
          <w:b/>
          <w:bCs/>
          <w:i/>
          <w:iCs/>
          <w:sz w:val="24"/>
          <w:szCs w:val="24"/>
        </w:rPr>
        <w:t>33</w:t>
      </w:r>
      <w:r w:rsidRPr="00E040D1">
        <w:rPr>
          <w:rFonts w:asciiTheme="majorBidi" w:hAnsiTheme="majorBidi" w:cstheme="majorBidi"/>
          <w:b/>
          <w:bCs/>
          <w:i/>
          <w:iCs/>
          <w:sz w:val="24"/>
          <w:szCs w:val="24"/>
        </w:rPr>
        <w:t>).</w:t>
      </w:r>
      <w:r w:rsidR="00FD2BF6" w:rsidRPr="00E040D1">
        <w:rPr>
          <w:rFonts w:asciiTheme="majorBidi" w:hAnsiTheme="majorBidi" w:cstheme="majorBidi"/>
          <w:b/>
          <w:bCs/>
          <w:i/>
          <w:iCs/>
          <w:sz w:val="24"/>
          <w:szCs w:val="24"/>
        </w:rPr>
        <w:t xml:space="preserve"> </w:t>
      </w:r>
      <w:r w:rsidRPr="00E040D1">
        <w:rPr>
          <w:rFonts w:asciiTheme="majorBidi" w:hAnsiTheme="majorBidi" w:cstheme="majorBidi"/>
          <w:sz w:val="24"/>
          <w:szCs w:val="24"/>
        </w:rPr>
        <w:t>The syndrome is characterized by the development of dyspnea and hypoxemia, which progressively worsens within 6 to 72 hours of inciting event, frequently requiring mechanical ventilation and intensive care unit-level care. ARDS is diagnosed clinically based on the diagnostic Berlin criteria</w:t>
      </w:r>
      <w:r w:rsidR="007D54BE" w:rsidRPr="00E040D1">
        <w:rPr>
          <w:rFonts w:asciiTheme="majorBidi" w:hAnsiTheme="majorBidi" w:cstheme="majorBidi"/>
          <w:sz w:val="24"/>
          <w:szCs w:val="24"/>
        </w:rPr>
        <w:t xml:space="preserve">, </w:t>
      </w:r>
      <w:r w:rsidRPr="00E040D1">
        <w:rPr>
          <w:rFonts w:asciiTheme="majorBidi" w:hAnsiTheme="majorBidi" w:cstheme="majorBidi"/>
          <w:sz w:val="24"/>
          <w:szCs w:val="24"/>
        </w:rPr>
        <w:t>Development of new-onset respiratory symptoms within one week of known clinical insult</w:t>
      </w:r>
      <w:r w:rsidR="007D54BE" w:rsidRPr="00E040D1">
        <w:rPr>
          <w:rFonts w:asciiTheme="majorBidi" w:hAnsiTheme="majorBidi" w:cstheme="majorBidi"/>
          <w:sz w:val="24"/>
          <w:szCs w:val="24"/>
        </w:rPr>
        <w:t xml:space="preserve">, </w:t>
      </w:r>
      <w:r w:rsidRPr="00E040D1">
        <w:rPr>
          <w:rFonts w:asciiTheme="majorBidi" w:hAnsiTheme="majorBidi" w:cstheme="majorBidi"/>
          <w:sz w:val="24"/>
          <w:szCs w:val="24"/>
        </w:rPr>
        <w:t>Bilateral opacities are apparent on chest X- ray or CT</w:t>
      </w:r>
      <w:r w:rsidR="007D54BE" w:rsidRPr="00E040D1">
        <w:rPr>
          <w:rFonts w:asciiTheme="majorBidi" w:hAnsiTheme="majorBidi" w:cstheme="majorBidi"/>
          <w:sz w:val="24"/>
          <w:szCs w:val="24"/>
        </w:rPr>
        <w:t>,</w:t>
      </w:r>
      <w:r w:rsidRPr="00E040D1">
        <w:rPr>
          <w:rFonts w:asciiTheme="majorBidi" w:hAnsiTheme="majorBidi" w:cstheme="majorBidi"/>
          <w:sz w:val="24"/>
          <w:szCs w:val="24"/>
        </w:rPr>
        <w:t xml:space="preserve"> Respiratory failure not fully explainable by cardiogenic pulmonary edema or fluid overload, Hypoxemia defined as partial arterial oxygen pressure to a fraction of inspired oxygen (PaO2/FiO2) ratio is less than or equal to 300 mmHg</w:t>
      </w:r>
      <w:r w:rsidR="007D54BE" w:rsidRPr="00E040D1">
        <w:rPr>
          <w:rFonts w:asciiTheme="majorBidi" w:hAnsiTheme="majorBidi" w:cstheme="majorBidi"/>
          <w:sz w:val="24"/>
          <w:szCs w:val="24"/>
        </w:rPr>
        <w:t xml:space="preserve">. </w:t>
      </w:r>
      <w:r w:rsidRPr="00E040D1">
        <w:rPr>
          <w:rFonts w:asciiTheme="majorBidi" w:hAnsiTheme="majorBidi" w:cstheme="majorBidi"/>
          <w:sz w:val="24"/>
          <w:szCs w:val="24"/>
        </w:rPr>
        <w:t>The severity of ARDS is classified according to the PaO2/FiO2 ratio on a mechanical ventilator with minimum positive end-expiratory pressure (PEEP)</w:t>
      </w:r>
      <w:r w:rsidR="007D54BE" w:rsidRPr="00E040D1">
        <w:rPr>
          <w:rFonts w:asciiTheme="majorBidi" w:hAnsiTheme="majorBidi" w:cstheme="majorBidi"/>
          <w:sz w:val="24"/>
          <w:szCs w:val="24"/>
        </w:rPr>
        <w:t xml:space="preserve"> into </w:t>
      </w:r>
      <w:r w:rsidRPr="00E040D1">
        <w:rPr>
          <w:rFonts w:asciiTheme="majorBidi" w:hAnsiTheme="majorBidi" w:cstheme="majorBidi"/>
          <w:sz w:val="24"/>
          <w:szCs w:val="24"/>
        </w:rPr>
        <w:t>mild</w:t>
      </w:r>
      <w:r w:rsidR="007D54BE" w:rsidRPr="00E040D1">
        <w:rPr>
          <w:rFonts w:asciiTheme="majorBidi" w:hAnsiTheme="majorBidi" w:cstheme="majorBidi"/>
          <w:sz w:val="24"/>
          <w:szCs w:val="24"/>
        </w:rPr>
        <w:t>, moderate,</w:t>
      </w:r>
      <w:r w:rsidRPr="00E040D1">
        <w:rPr>
          <w:rFonts w:asciiTheme="majorBidi" w:hAnsiTheme="majorBidi" w:cstheme="majorBidi"/>
          <w:sz w:val="24"/>
          <w:szCs w:val="24"/>
        </w:rPr>
        <w:t xml:space="preserve"> and severe</w:t>
      </w:r>
      <w:r w:rsidR="00FC44F5" w:rsidRPr="00E040D1">
        <w:rPr>
          <w:rFonts w:asciiTheme="majorBidi" w:hAnsiTheme="majorBidi" w:cstheme="majorBidi"/>
          <w:sz w:val="24"/>
          <w:szCs w:val="24"/>
        </w:rPr>
        <w:t>.</w:t>
      </w:r>
      <w:r w:rsidRPr="00E040D1">
        <w:rPr>
          <w:rFonts w:asciiTheme="majorBidi" w:hAnsiTheme="majorBidi" w:cstheme="majorBidi"/>
          <w:b/>
          <w:bCs/>
          <w:i/>
          <w:iCs/>
          <w:sz w:val="24"/>
          <w:szCs w:val="24"/>
        </w:rPr>
        <w:t xml:space="preserve"> </w:t>
      </w:r>
      <w:r w:rsidRPr="00E040D1">
        <w:rPr>
          <w:rFonts w:asciiTheme="majorBidi" w:hAnsiTheme="majorBidi" w:cstheme="majorBidi"/>
          <w:sz w:val="24"/>
          <w:szCs w:val="24"/>
        </w:rPr>
        <w:t>Diffuse bilateral opacities and infiltrates classically present on chest radiograph, but these findings could be variable showing lobar or unilateral opacities. CT usually shows widespread patchy airspace opacities more evident in the dependent areas</w:t>
      </w:r>
      <w:r w:rsidR="007D54BE" w:rsidRPr="00E040D1">
        <w:rPr>
          <w:rFonts w:asciiTheme="majorBidi" w:hAnsiTheme="majorBidi" w:cstheme="majorBidi"/>
          <w:b/>
          <w:bCs/>
          <w:i/>
          <w:iCs/>
          <w:sz w:val="24"/>
          <w:szCs w:val="24"/>
        </w:rPr>
        <w:t xml:space="preserve"> (</w:t>
      </w:r>
      <w:r w:rsidR="009872EF" w:rsidRPr="00E040D1">
        <w:rPr>
          <w:rFonts w:asciiTheme="majorBidi" w:hAnsiTheme="majorBidi" w:cstheme="majorBidi"/>
          <w:b/>
          <w:bCs/>
          <w:i/>
          <w:iCs/>
          <w:sz w:val="24"/>
          <w:szCs w:val="24"/>
        </w:rPr>
        <w:t>34</w:t>
      </w:r>
      <w:r w:rsidR="007D54BE" w:rsidRPr="00E040D1">
        <w:rPr>
          <w:rFonts w:asciiTheme="majorBidi" w:hAnsiTheme="majorBidi" w:cstheme="majorBidi"/>
          <w:b/>
          <w:bCs/>
          <w:i/>
          <w:iCs/>
          <w:sz w:val="24"/>
          <w:szCs w:val="24"/>
        </w:rPr>
        <w:t xml:space="preserve">). </w:t>
      </w:r>
      <w:r w:rsidRPr="00E040D1">
        <w:rPr>
          <w:rFonts w:asciiTheme="majorBidi" w:hAnsiTheme="majorBidi" w:cstheme="majorBidi"/>
          <w:sz w:val="24"/>
          <w:szCs w:val="24"/>
        </w:rPr>
        <w:t>Safe mechanical ventilation with avoiding further lung injury is the cornerstone of treatment in ARDS. Current guidelines recommend lung protective ventilation consists of low tidal volumes (4 to 8 ml/kg of ideal body weight) with a target of plateau airway pressure less than 30 cm of water</w:t>
      </w:r>
      <w:r w:rsidRPr="00E040D1">
        <w:rPr>
          <w:rFonts w:asciiTheme="majorBidi" w:hAnsiTheme="majorBidi" w:cstheme="majorBidi"/>
          <w:b/>
          <w:bCs/>
          <w:i/>
          <w:iCs/>
          <w:sz w:val="24"/>
          <w:szCs w:val="24"/>
        </w:rPr>
        <w:t>.</w:t>
      </w:r>
      <w:r w:rsidR="007D54BE" w:rsidRPr="00E040D1">
        <w:rPr>
          <w:rFonts w:asciiTheme="majorBidi" w:hAnsiTheme="majorBidi" w:cstheme="majorBidi"/>
          <w:b/>
          <w:bCs/>
          <w:i/>
          <w:iCs/>
          <w:sz w:val="24"/>
          <w:szCs w:val="24"/>
        </w:rPr>
        <w:t xml:space="preserve"> </w:t>
      </w:r>
      <w:r w:rsidRPr="00E040D1">
        <w:rPr>
          <w:rFonts w:asciiTheme="majorBidi" w:hAnsiTheme="majorBidi" w:cstheme="majorBidi"/>
          <w:sz w:val="24"/>
          <w:szCs w:val="24"/>
        </w:rPr>
        <w:t xml:space="preserve">Furthermore, in patients with moderate-to-severe ARDS (PaO2/FiO2 </w:t>
      </w:r>
      <w:r w:rsidRPr="00E040D1">
        <w:rPr>
          <w:rFonts w:asciiTheme="majorBidi" w:hAnsiTheme="majorBidi" w:cstheme="majorBidi"/>
          <w:sz w:val="24"/>
          <w:szCs w:val="24"/>
        </w:rPr>
        <w:lastRenderedPageBreak/>
        <w:t xml:space="preserve">less than or equal to 150 mmHg), the American Thoracic Society and European Respiratory Society (ATS/ERS) recommend the prone position for 12 hours per day especially in patients with resistant hypoxemia </w:t>
      </w:r>
      <w:r w:rsidR="007D54BE" w:rsidRPr="00E040D1">
        <w:rPr>
          <w:rFonts w:asciiTheme="majorBidi" w:hAnsiTheme="majorBidi" w:cstheme="majorBidi"/>
          <w:b/>
          <w:bCs/>
          <w:i/>
          <w:iCs/>
          <w:sz w:val="24"/>
          <w:szCs w:val="24"/>
        </w:rPr>
        <w:t>(</w:t>
      </w:r>
      <w:r w:rsidR="009872EF" w:rsidRPr="00E040D1">
        <w:rPr>
          <w:rFonts w:asciiTheme="majorBidi" w:hAnsiTheme="majorBidi" w:cstheme="majorBidi"/>
          <w:b/>
          <w:bCs/>
          <w:i/>
          <w:iCs/>
          <w:sz w:val="24"/>
          <w:szCs w:val="24"/>
        </w:rPr>
        <w:t>35</w:t>
      </w:r>
      <w:r w:rsidR="007D54BE" w:rsidRPr="00E040D1">
        <w:rPr>
          <w:rFonts w:asciiTheme="majorBidi" w:hAnsiTheme="majorBidi" w:cstheme="majorBidi"/>
          <w:b/>
          <w:bCs/>
          <w:i/>
          <w:iCs/>
          <w:sz w:val="24"/>
          <w:szCs w:val="24"/>
        </w:rPr>
        <w:t>).</w:t>
      </w:r>
      <w:r w:rsidRPr="00E040D1">
        <w:rPr>
          <w:rFonts w:asciiTheme="majorBidi" w:hAnsiTheme="majorBidi" w:cstheme="majorBidi"/>
          <w:sz w:val="24"/>
          <w:szCs w:val="24"/>
        </w:rPr>
        <w:t xml:space="preserve"> Conservative fluid strategy is recommended in patients with ARDS to decrease the risk of fluid accumulation in alveolar space as it associated with a reduction of the duration of mechanical ventilation and ICU stay with an improvement of lung function without causing non-pulmonary organ dysfunction</w:t>
      </w:r>
      <w:r w:rsidR="007D54BE" w:rsidRPr="00E040D1">
        <w:rPr>
          <w:rFonts w:asciiTheme="majorBidi" w:hAnsiTheme="majorBidi" w:cstheme="majorBidi"/>
          <w:sz w:val="24"/>
          <w:szCs w:val="24"/>
        </w:rPr>
        <w:t xml:space="preserve">. </w:t>
      </w:r>
      <w:r w:rsidRPr="00E040D1">
        <w:rPr>
          <w:rFonts w:asciiTheme="majorBidi" w:hAnsiTheme="majorBidi" w:cstheme="majorBidi"/>
          <w:sz w:val="24"/>
          <w:szCs w:val="24"/>
        </w:rPr>
        <w:t xml:space="preserve">Early use of neuromuscular blockade and deep sedation in patients with moderate-to-severe ARDS correlates with 90-day survival without increasing the risk for muscle </w:t>
      </w:r>
      <w:r w:rsidR="00FC44F5" w:rsidRPr="00E040D1">
        <w:rPr>
          <w:rFonts w:asciiTheme="majorBidi" w:hAnsiTheme="majorBidi" w:cstheme="majorBidi"/>
          <w:sz w:val="24"/>
          <w:szCs w:val="24"/>
        </w:rPr>
        <w:t>weakness. Complications</w:t>
      </w:r>
      <w:r w:rsidRPr="00E040D1">
        <w:rPr>
          <w:rFonts w:asciiTheme="majorBidi" w:hAnsiTheme="majorBidi" w:cstheme="majorBidi"/>
          <w:sz w:val="24"/>
          <w:szCs w:val="24"/>
        </w:rPr>
        <w:t xml:space="preserve"> of ARDS include barotrauma from high PEEP, prolonged mechanical ventilation -thus the need for tracheostomy, Post extubating laryngeal edema and subglottic stenosis, nosocomial infections, pneumonia, line sepsis, urinary tract infection, deep venous thrombosis, antibiotic resistance, muscle weakness, renal failure, and post-traumatic stress disorder </w:t>
      </w:r>
      <w:r w:rsidRPr="00E040D1">
        <w:rPr>
          <w:rFonts w:asciiTheme="majorBidi" w:hAnsiTheme="majorBidi" w:cstheme="majorBidi"/>
          <w:b/>
          <w:bCs/>
          <w:sz w:val="24"/>
          <w:szCs w:val="24"/>
        </w:rPr>
        <w:t>(</w:t>
      </w:r>
      <w:r w:rsidR="009872EF" w:rsidRPr="00E040D1">
        <w:rPr>
          <w:rFonts w:asciiTheme="majorBidi" w:hAnsiTheme="majorBidi" w:cstheme="majorBidi"/>
          <w:b/>
          <w:bCs/>
          <w:sz w:val="24"/>
          <w:szCs w:val="24"/>
        </w:rPr>
        <w:t>36</w:t>
      </w:r>
      <w:r w:rsidR="00CC3A77" w:rsidRPr="00E040D1">
        <w:rPr>
          <w:rFonts w:asciiTheme="majorBidi" w:hAnsiTheme="majorBidi" w:cstheme="majorBidi"/>
          <w:b/>
          <w:bCs/>
          <w:sz w:val="24"/>
          <w:szCs w:val="24"/>
        </w:rPr>
        <w:t>)</w:t>
      </w:r>
      <w:r w:rsidRPr="00E040D1">
        <w:rPr>
          <w:rFonts w:asciiTheme="majorBidi" w:eastAsia="Calibri" w:hAnsiTheme="majorBidi" w:cstheme="majorBidi"/>
          <w:b/>
          <w:bCs/>
          <w:i/>
          <w:iCs/>
          <w:sz w:val="24"/>
          <w:szCs w:val="24"/>
        </w:rPr>
        <w:t>.</w:t>
      </w:r>
      <w:r w:rsidRPr="00E040D1">
        <w:rPr>
          <w:rFonts w:asciiTheme="majorBidi" w:eastAsia="Calibri" w:hAnsiTheme="majorBidi" w:cstheme="majorBidi"/>
          <w:sz w:val="24"/>
          <w:szCs w:val="24"/>
        </w:rPr>
        <w:t xml:space="preserve"> It is common among COVID-19 patients to develop acute respiratory distress syndrome (ARDS), a life-threatening form of respiratory failure, approximately 1/3 (33%) of hospitalized patients with Covid 19 develop ARDS. And nearly 3/4 (75%) of COVID-19 patients admitted to the ICU have ARDS </w:t>
      </w:r>
      <w:r w:rsidRPr="00E040D1">
        <w:rPr>
          <w:rFonts w:asciiTheme="majorBidi" w:eastAsia="Calibri" w:hAnsiTheme="majorBidi" w:cstheme="majorBidi"/>
          <w:b/>
          <w:bCs/>
          <w:i/>
          <w:iCs/>
          <w:sz w:val="24"/>
          <w:szCs w:val="24"/>
        </w:rPr>
        <w:t>(</w:t>
      </w:r>
      <w:r w:rsidR="009872EF" w:rsidRPr="00E040D1">
        <w:rPr>
          <w:rFonts w:asciiTheme="majorBidi" w:eastAsia="Calibri" w:hAnsiTheme="majorBidi" w:cstheme="majorBidi"/>
          <w:b/>
          <w:bCs/>
          <w:i/>
          <w:iCs/>
          <w:sz w:val="24"/>
          <w:szCs w:val="24"/>
        </w:rPr>
        <w:t>37</w:t>
      </w:r>
      <w:r w:rsidRPr="00E040D1">
        <w:rPr>
          <w:rFonts w:asciiTheme="majorBidi" w:eastAsia="Calibri" w:hAnsiTheme="majorBidi" w:cstheme="majorBidi"/>
          <w:b/>
          <w:bCs/>
          <w:i/>
          <w:iCs/>
          <w:sz w:val="24"/>
          <w:szCs w:val="24"/>
        </w:rPr>
        <w:t>).</w:t>
      </w:r>
      <w:r w:rsidR="00CA24BE" w:rsidRPr="00E040D1">
        <w:rPr>
          <w:rFonts w:asciiTheme="majorBidi" w:eastAsia="Calibri" w:hAnsiTheme="majorBidi" w:cstheme="majorBidi"/>
          <w:b/>
          <w:bCs/>
          <w:i/>
          <w:iCs/>
          <w:sz w:val="24"/>
          <w:szCs w:val="24"/>
        </w:rPr>
        <w:t xml:space="preserve"> </w:t>
      </w:r>
      <w:r w:rsidRPr="00E040D1">
        <w:rPr>
          <w:rFonts w:asciiTheme="majorBidi" w:eastAsia="Calibri" w:hAnsiTheme="majorBidi" w:cstheme="majorBidi"/>
          <w:sz w:val="24"/>
          <w:szCs w:val="24"/>
        </w:rPr>
        <w:t>Patients with COVID-19 ARDS may have normal or even high lung compliance; this is not the case in patients with classic ARDS</w:t>
      </w:r>
      <w:r w:rsidR="00597A14" w:rsidRPr="00E040D1">
        <w:rPr>
          <w:rFonts w:asciiTheme="majorBidi" w:eastAsia="Calibri" w:hAnsiTheme="majorBidi" w:cstheme="majorBidi"/>
          <w:sz w:val="24"/>
          <w:szCs w:val="24"/>
        </w:rPr>
        <w:t>.</w:t>
      </w:r>
      <w:r w:rsidRPr="00E040D1">
        <w:rPr>
          <w:rFonts w:asciiTheme="majorBidi" w:eastAsia="Calibri" w:hAnsiTheme="majorBidi" w:cstheme="majorBidi"/>
          <w:sz w:val="24"/>
          <w:szCs w:val="24"/>
        </w:rPr>
        <w:t xml:space="preserve"> the dependence on mechanical ventilation of COVID-19 ARDS is longer than that of non-COVID-19 ARDS. </w:t>
      </w:r>
      <w:r w:rsidRPr="00E040D1">
        <w:rPr>
          <w:rFonts w:asciiTheme="majorBidi" w:eastAsia="Calibri" w:hAnsiTheme="majorBidi" w:cstheme="majorBidi"/>
          <w:sz w:val="24"/>
          <w:szCs w:val="24"/>
        </w:rPr>
        <w:lastRenderedPageBreak/>
        <w:t xml:space="preserve">Due to the anti-inflammatory effects of corticosteroids, they are considered a possible treatment for ARDS and WHO strongly recommended systemic corticosteroid therapy for patients with severe and critical COVID-19 and recommended against corticosteroid therapy for patients with non-severe COVID-19 </w:t>
      </w:r>
      <w:r w:rsidR="00597A14" w:rsidRPr="00E040D1">
        <w:rPr>
          <w:rFonts w:asciiTheme="majorBidi" w:eastAsia="Calibri" w:hAnsiTheme="majorBidi" w:cstheme="majorBidi"/>
          <w:b/>
          <w:bCs/>
          <w:i/>
          <w:iCs/>
          <w:sz w:val="24"/>
          <w:szCs w:val="24"/>
        </w:rPr>
        <w:t>(</w:t>
      </w:r>
      <w:r w:rsidR="009872EF" w:rsidRPr="00E040D1">
        <w:rPr>
          <w:rFonts w:asciiTheme="majorBidi" w:eastAsia="Calibri" w:hAnsiTheme="majorBidi" w:cstheme="majorBidi"/>
          <w:b/>
          <w:bCs/>
          <w:i/>
          <w:iCs/>
          <w:sz w:val="24"/>
          <w:szCs w:val="24"/>
        </w:rPr>
        <w:t>38</w:t>
      </w:r>
      <w:r w:rsidRPr="00E040D1">
        <w:rPr>
          <w:rFonts w:asciiTheme="majorBidi" w:eastAsia="Calibri" w:hAnsiTheme="majorBidi" w:cstheme="majorBidi"/>
          <w:b/>
          <w:bCs/>
          <w:i/>
          <w:iCs/>
          <w:sz w:val="24"/>
          <w:szCs w:val="24"/>
        </w:rPr>
        <w:t xml:space="preserve">). </w:t>
      </w:r>
      <w:r w:rsidRPr="00E040D1">
        <w:rPr>
          <w:rFonts w:asciiTheme="majorBidi" w:hAnsiTheme="majorBidi" w:cstheme="majorBidi"/>
          <w:sz w:val="24"/>
          <w:szCs w:val="24"/>
        </w:rPr>
        <w:t>Cytokine storm, a serious condition caused by sustained viral replication, occurs in some patients and it has been shown to be the main cause of COVID-19 related ARDS Some of the cytokines and chemokines overexpressed during the cytokine storm</w:t>
      </w:r>
      <w:r w:rsidR="00D046DB" w:rsidRPr="00E040D1">
        <w:rPr>
          <w:rFonts w:asciiTheme="majorBidi" w:hAnsiTheme="majorBidi" w:cstheme="majorBidi"/>
          <w:sz w:val="24"/>
          <w:szCs w:val="24"/>
        </w:rPr>
        <w:t xml:space="preserve"> </w:t>
      </w:r>
      <w:r w:rsidRPr="00E040D1">
        <w:rPr>
          <w:rFonts w:asciiTheme="majorBidi" w:hAnsiTheme="majorBidi" w:cstheme="majorBidi"/>
          <w:b/>
          <w:bCs/>
          <w:i/>
          <w:iCs/>
          <w:sz w:val="24"/>
          <w:szCs w:val="24"/>
        </w:rPr>
        <w:t>(</w:t>
      </w:r>
      <w:r w:rsidR="009872EF" w:rsidRPr="00E040D1">
        <w:rPr>
          <w:rFonts w:asciiTheme="majorBidi" w:hAnsiTheme="majorBidi" w:cstheme="majorBidi"/>
          <w:b/>
          <w:bCs/>
          <w:i/>
          <w:iCs/>
          <w:sz w:val="24"/>
          <w:szCs w:val="24"/>
        </w:rPr>
        <w:t>39</w:t>
      </w:r>
      <w:r w:rsidRPr="00E040D1">
        <w:rPr>
          <w:rFonts w:asciiTheme="majorBidi" w:hAnsiTheme="majorBidi" w:cstheme="majorBidi"/>
          <w:b/>
          <w:bCs/>
          <w:i/>
          <w:iCs/>
          <w:sz w:val="24"/>
          <w:szCs w:val="24"/>
        </w:rPr>
        <w:t xml:space="preserve">). </w:t>
      </w:r>
      <w:r w:rsidRPr="00E040D1">
        <w:rPr>
          <w:rFonts w:asciiTheme="majorBidi" w:hAnsiTheme="majorBidi" w:cstheme="majorBidi"/>
          <w:sz w:val="24"/>
          <w:szCs w:val="24"/>
        </w:rPr>
        <w:t>In COVID-19 patients, induced moderate to severe ARDS the standard treatment plus i.v. dexamethasone led to a statistically significant increase in days alive and free of mechanical ventilation over 28 days compared with standard treatment alone</w:t>
      </w:r>
      <w:r w:rsidRPr="00E040D1">
        <w:rPr>
          <w:rFonts w:asciiTheme="majorBidi" w:hAnsiTheme="majorBidi" w:cstheme="majorBidi"/>
          <w:b/>
          <w:bCs/>
          <w:i/>
          <w:iCs/>
          <w:sz w:val="24"/>
          <w:szCs w:val="24"/>
        </w:rPr>
        <w:t xml:space="preserve"> (</w:t>
      </w:r>
      <w:r w:rsidR="00F24679" w:rsidRPr="00E040D1">
        <w:rPr>
          <w:rFonts w:asciiTheme="majorBidi" w:hAnsiTheme="majorBidi" w:cstheme="majorBidi"/>
          <w:b/>
          <w:bCs/>
          <w:i/>
          <w:iCs/>
          <w:sz w:val="24"/>
          <w:szCs w:val="24"/>
        </w:rPr>
        <w:t>63</w:t>
      </w:r>
      <w:r w:rsidRPr="00E040D1">
        <w:rPr>
          <w:rFonts w:asciiTheme="majorBidi" w:hAnsiTheme="majorBidi" w:cstheme="majorBidi"/>
          <w:b/>
          <w:bCs/>
          <w:i/>
          <w:iCs/>
          <w:sz w:val="24"/>
          <w:szCs w:val="24"/>
        </w:rPr>
        <w:t xml:space="preserve">). </w:t>
      </w:r>
      <w:r w:rsidR="000D4244" w:rsidRPr="00E040D1">
        <w:rPr>
          <w:rFonts w:asciiTheme="majorBidi" w:hAnsiTheme="majorBidi" w:cstheme="majorBidi"/>
          <w:sz w:val="24"/>
          <w:szCs w:val="24"/>
        </w:rPr>
        <w:t>I</w:t>
      </w:r>
      <w:r w:rsidRPr="00E040D1">
        <w:rPr>
          <w:rFonts w:asciiTheme="majorBidi" w:hAnsiTheme="majorBidi" w:cstheme="majorBidi"/>
          <w:sz w:val="24"/>
          <w:szCs w:val="24"/>
        </w:rPr>
        <w:t>n a controlled, open-label trial, it has been determined that dexamethasone use reduced 28-day mortality in hospitalized Covid-19 patients’ who received either mechanical ventilation or oxygen, but not those receiving no respiratory support</w:t>
      </w:r>
      <w:r w:rsidRPr="00E040D1">
        <w:rPr>
          <w:rFonts w:asciiTheme="majorBidi" w:hAnsiTheme="majorBidi" w:cstheme="majorBidi"/>
          <w:b/>
          <w:bCs/>
          <w:i/>
          <w:iCs/>
          <w:sz w:val="24"/>
          <w:szCs w:val="24"/>
        </w:rPr>
        <w:t xml:space="preserve"> (</w:t>
      </w:r>
      <w:r w:rsidR="00D046DB" w:rsidRPr="00E040D1">
        <w:rPr>
          <w:rFonts w:asciiTheme="majorBidi" w:hAnsiTheme="majorBidi" w:cstheme="majorBidi"/>
          <w:b/>
          <w:bCs/>
          <w:i/>
          <w:iCs/>
          <w:sz w:val="24"/>
          <w:szCs w:val="24"/>
        </w:rPr>
        <w:t>40</w:t>
      </w:r>
      <w:r w:rsidRPr="00E040D1">
        <w:rPr>
          <w:rFonts w:asciiTheme="majorBidi" w:hAnsiTheme="majorBidi" w:cstheme="majorBidi"/>
          <w:b/>
          <w:bCs/>
          <w:i/>
          <w:iCs/>
          <w:sz w:val="24"/>
          <w:szCs w:val="24"/>
        </w:rPr>
        <w:t xml:space="preserve">). </w:t>
      </w:r>
      <w:r w:rsidRPr="00E040D1">
        <w:rPr>
          <w:rFonts w:asciiTheme="majorBidi" w:hAnsiTheme="majorBidi" w:cstheme="majorBidi"/>
          <w:sz w:val="24"/>
          <w:szCs w:val="24"/>
        </w:rPr>
        <w:t xml:space="preserve">Some preliminary trial results suggest methylprednisolone and dexamethasone can be used for the severe form of COVID-19 </w:t>
      </w:r>
      <w:r w:rsidRPr="00E040D1">
        <w:rPr>
          <w:rFonts w:asciiTheme="majorBidi" w:hAnsiTheme="majorBidi" w:cstheme="majorBidi"/>
          <w:b/>
          <w:bCs/>
          <w:i/>
          <w:iCs/>
          <w:sz w:val="24"/>
          <w:szCs w:val="24"/>
        </w:rPr>
        <w:t>(</w:t>
      </w:r>
      <w:r w:rsidR="00D046DB" w:rsidRPr="00E040D1">
        <w:rPr>
          <w:rFonts w:asciiTheme="majorBidi" w:hAnsiTheme="majorBidi" w:cstheme="majorBidi"/>
          <w:b/>
          <w:bCs/>
          <w:i/>
          <w:iCs/>
          <w:sz w:val="24"/>
          <w:szCs w:val="24"/>
        </w:rPr>
        <w:t>41</w:t>
      </w:r>
      <w:r w:rsidRPr="00E040D1">
        <w:rPr>
          <w:rFonts w:asciiTheme="majorBidi" w:hAnsiTheme="majorBidi" w:cstheme="majorBidi"/>
          <w:b/>
          <w:bCs/>
          <w:i/>
          <w:iCs/>
          <w:sz w:val="24"/>
          <w:szCs w:val="24"/>
        </w:rPr>
        <w:t xml:space="preserve">). </w:t>
      </w:r>
      <w:r w:rsidRPr="00E040D1">
        <w:rPr>
          <w:rFonts w:asciiTheme="majorBidi" w:hAnsiTheme="majorBidi" w:cstheme="majorBidi"/>
          <w:sz w:val="24"/>
          <w:szCs w:val="24"/>
        </w:rPr>
        <w:t xml:space="preserve">Ranjbar et al. </w:t>
      </w:r>
      <w:r w:rsidR="000D4244" w:rsidRPr="00E040D1">
        <w:rPr>
          <w:rFonts w:asciiTheme="majorBidi" w:hAnsiTheme="majorBidi" w:cstheme="majorBidi"/>
          <w:sz w:val="24"/>
          <w:szCs w:val="24"/>
        </w:rPr>
        <w:t>c</w:t>
      </w:r>
      <w:r w:rsidRPr="00E040D1">
        <w:rPr>
          <w:rFonts w:asciiTheme="majorBidi" w:hAnsiTheme="majorBidi" w:cstheme="majorBidi"/>
          <w:sz w:val="24"/>
          <w:szCs w:val="24"/>
        </w:rPr>
        <w:t>ompared to the use of 6 mg/day of dexamethasone in patients admitted to hospital with COVID-19 pneumonia, the administration of 2 mg/kg per day of intravenous methylprednisolone resulted in a shorter hospital stay and less need for mechanical ventilation. Methylprednisolone demonstrated better outcomes in COVID-19 hypoxic patients when compared to dexamethasone</w:t>
      </w:r>
      <w:r w:rsidRPr="00E040D1">
        <w:rPr>
          <w:rFonts w:asciiTheme="majorBidi" w:hAnsiTheme="majorBidi" w:cstheme="majorBidi"/>
          <w:b/>
          <w:bCs/>
          <w:i/>
          <w:iCs/>
          <w:sz w:val="24"/>
          <w:szCs w:val="24"/>
        </w:rPr>
        <w:t xml:space="preserve"> (</w:t>
      </w:r>
      <w:r w:rsidR="000D4244" w:rsidRPr="00E040D1">
        <w:rPr>
          <w:rFonts w:asciiTheme="majorBidi" w:hAnsiTheme="majorBidi" w:cstheme="majorBidi"/>
          <w:b/>
          <w:bCs/>
          <w:i/>
          <w:iCs/>
          <w:sz w:val="24"/>
          <w:szCs w:val="24"/>
        </w:rPr>
        <w:t>42</w:t>
      </w:r>
      <w:r w:rsidRPr="00E040D1">
        <w:rPr>
          <w:rFonts w:asciiTheme="majorBidi" w:hAnsiTheme="majorBidi" w:cstheme="majorBidi"/>
          <w:b/>
          <w:bCs/>
          <w:i/>
          <w:iCs/>
          <w:sz w:val="24"/>
          <w:szCs w:val="24"/>
        </w:rPr>
        <w:t>).</w:t>
      </w:r>
    </w:p>
    <w:p w14:paraId="7FA9D9B0" w14:textId="77777777" w:rsidR="00AB14AA" w:rsidRPr="00E040D1" w:rsidRDefault="00AB14AA" w:rsidP="00E040D1">
      <w:pPr>
        <w:pStyle w:val="BodyText"/>
        <w:spacing w:before="198" w:line="276" w:lineRule="auto"/>
        <w:ind w:right="953"/>
        <w:jc w:val="both"/>
        <w:rPr>
          <w:rFonts w:asciiTheme="majorBidi" w:hAnsiTheme="majorBidi" w:cstheme="majorBidi"/>
          <w:b/>
          <w:bCs/>
          <w:sz w:val="24"/>
          <w:szCs w:val="24"/>
        </w:rPr>
        <w:sectPr w:rsidR="00AB14AA" w:rsidRPr="00E040D1" w:rsidSect="00B7496A">
          <w:type w:val="continuous"/>
          <w:pgSz w:w="12240" w:h="15840"/>
          <w:pgMar w:top="1440" w:right="1440" w:bottom="1440" w:left="1440" w:header="720" w:footer="720" w:gutter="0"/>
          <w:cols w:num="2" w:space="720"/>
          <w:docGrid w:linePitch="360"/>
        </w:sectPr>
      </w:pPr>
    </w:p>
    <w:p w14:paraId="354822F2" w14:textId="3B1DC20A" w:rsidR="00037C6A" w:rsidRPr="00E040D1" w:rsidRDefault="00C01F5D" w:rsidP="00E040D1">
      <w:pPr>
        <w:pStyle w:val="BodyText"/>
        <w:spacing w:before="198" w:line="276" w:lineRule="auto"/>
        <w:ind w:right="953"/>
        <w:jc w:val="both"/>
        <w:rPr>
          <w:rFonts w:asciiTheme="majorBidi" w:hAnsiTheme="majorBidi" w:cstheme="majorBidi"/>
          <w:b/>
          <w:bCs/>
          <w:sz w:val="24"/>
          <w:szCs w:val="24"/>
        </w:rPr>
      </w:pPr>
      <w:r w:rsidRPr="00E040D1">
        <w:rPr>
          <w:rFonts w:asciiTheme="majorBidi" w:hAnsiTheme="majorBidi" w:cstheme="majorBidi"/>
          <w:b/>
          <w:bCs/>
          <w:sz w:val="24"/>
          <w:szCs w:val="24"/>
        </w:rPr>
        <w:lastRenderedPageBreak/>
        <w:t>Subjects and methods</w:t>
      </w:r>
    </w:p>
    <w:p w14:paraId="14A78638" w14:textId="77777777" w:rsidR="00E836F8" w:rsidRPr="00E040D1" w:rsidRDefault="00CA24BE" w:rsidP="00E040D1">
      <w:pPr>
        <w:spacing w:line="276" w:lineRule="auto"/>
        <w:jc w:val="both"/>
        <w:rPr>
          <w:rFonts w:asciiTheme="majorBidi" w:hAnsiTheme="majorBidi" w:cstheme="majorBidi"/>
          <w:sz w:val="24"/>
          <w:szCs w:val="24"/>
          <w:lang w:bidi="ar-EG"/>
        </w:rPr>
      </w:pPr>
      <w:r w:rsidRPr="00E040D1">
        <w:rPr>
          <w:rFonts w:asciiTheme="majorBidi" w:hAnsiTheme="majorBidi" w:cstheme="majorBidi"/>
          <w:sz w:val="24"/>
          <w:szCs w:val="24"/>
          <w:lang w:bidi="ar-EG"/>
        </w:rPr>
        <w:t xml:space="preserve">This study is across sectional study that was conducted on </w:t>
      </w:r>
      <w:r w:rsidRPr="00E040D1">
        <w:rPr>
          <w:rFonts w:asciiTheme="majorBidi" w:hAnsiTheme="majorBidi" w:cstheme="majorBidi"/>
          <w:sz w:val="24"/>
          <w:szCs w:val="24"/>
          <w:rtl/>
          <w:lang w:bidi="ar-EG"/>
        </w:rPr>
        <w:t>5</w:t>
      </w:r>
      <w:r w:rsidRPr="00E040D1">
        <w:rPr>
          <w:rFonts w:asciiTheme="majorBidi" w:hAnsiTheme="majorBidi" w:cstheme="majorBidi"/>
          <w:sz w:val="24"/>
          <w:szCs w:val="24"/>
          <w:lang w:bidi="ar-EG"/>
        </w:rPr>
        <w:t>0 patients who were</w:t>
      </w:r>
      <w:r w:rsidRPr="00E040D1">
        <w:rPr>
          <w:rFonts w:asciiTheme="majorBidi" w:hAnsiTheme="majorBidi" w:cstheme="majorBidi"/>
          <w:sz w:val="24"/>
          <w:szCs w:val="24"/>
          <w:rtl/>
          <w:lang w:bidi="ar-EG"/>
        </w:rPr>
        <w:t xml:space="preserve"> </w:t>
      </w:r>
      <w:r w:rsidRPr="00E040D1">
        <w:rPr>
          <w:rFonts w:asciiTheme="majorBidi" w:hAnsiTheme="majorBidi" w:cstheme="majorBidi"/>
          <w:sz w:val="24"/>
          <w:szCs w:val="24"/>
          <w:lang w:bidi="ar-EG"/>
        </w:rPr>
        <w:t xml:space="preserve">highly suspected with covid 19 by </w:t>
      </w:r>
      <w:r w:rsidR="00B7537F" w:rsidRPr="00E040D1">
        <w:rPr>
          <w:rFonts w:asciiTheme="majorBidi" w:hAnsiTheme="majorBidi" w:cstheme="majorBidi"/>
          <w:sz w:val="24"/>
          <w:szCs w:val="24"/>
          <w:lang w:bidi="ar-EG"/>
        </w:rPr>
        <w:t>history,</w:t>
      </w:r>
      <w:r w:rsidRPr="00E040D1">
        <w:rPr>
          <w:rFonts w:asciiTheme="majorBidi" w:hAnsiTheme="majorBidi" w:cstheme="majorBidi"/>
          <w:sz w:val="24"/>
          <w:szCs w:val="24"/>
          <w:lang w:bidi="ar-EG"/>
        </w:rPr>
        <w:t xml:space="preserve"> laboratory investigation, chest imaging and confirmed with PCR. The cases were selected from the critical care unit and isolation critical care unit at Benha university Hospital.</w:t>
      </w:r>
      <w:r w:rsidR="00B7537F" w:rsidRPr="00E040D1">
        <w:rPr>
          <w:rFonts w:asciiTheme="majorBidi" w:hAnsiTheme="majorBidi" w:cstheme="majorBidi"/>
          <w:sz w:val="24"/>
          <w:szCs w:val="24"/>
        </w:rPr>
        <w:t xml:space="preserve"> </w:t>
      </w:r>
      <w:r w:rsidR="00B7537F" w:rsidRPr="00E040D1">
        <w:rPr>
          <w:rFonts w:asciiTheme="majorBidi" w:hAnsiTheme="majorBidi" w:cstheme="majorBidi"/>
          <w:sz w:val="24"/>
          <w:szCs w:val="24"/>
          <w:lang w:bidi="ar-EG"/>
        </w:rPr>
        <w:t>Written consent forms approved by local ethical research committee were obtained from every patient subject</w:t>
      </w:r>
      <w:r w:rsidRPr="00E040D1">
        <w:rPr>
          <w:rFonts w:asciiTheme="majorBidi" w:hAnsiTheme="majorBidi" w:cstheme="majorBidi"/>
          <w:sz w:val="24"/>
          <w:szCs w:val="24"/>
          <w:lang w:bidi="ar-EG"/>
        </w:rPr>
        <w:t xml:space="preserve"> They were classified into two </w:t>
      </w:r>
      <w:r w:rsidR="0054610C" w:rsidRPr="00E040D1">
        <w:rPr>
          <w:rFonts w:asciiTheme="majorBidi" w:hAnsiTheme="majorBidi" w:cstheme="majorBidi"/>
          <w:sz w:val="24"/>
          <w:szCs w:val="24"/>
          <w:lang w:bidi="ar-EG"/>
        </w:rPr>
        <w:t>groups; Group</w:t>
      </w:r>
      <w:r w:rsidRPr="00E040D1">
        <w:rPr>
          <w:rFonts w:asciiTheme="majorBidi" w:hAnsiTheme="majorBidi" w:cstheme="majorBidi"/>
          <w:b/>
          <w:bCs/>
          <w:sz w:val="24"/>
          <w:szCs w:val="24"/>
          <w:lang w:bidi="ar-EG"/>
        </w:rPr>
        <w:t xml:space="preserve"> 1</w:t>
      </w:r>
      <w:r w:rsidRPr="00E040D1">
        <w:rPr>
          <w:rFonts w:asciiTheme="majorBidi" w:hAnsiTheme="majorBidi" w:cstheme="majorBidi"/>
          <w:sz w:val="24"/>
          <w:szCs w:val="24"/>
          <w:lang w:bidi="ar-EG"/>
        </w:rPr>
        <w:t>: 25 patients receive</w:t>
      </w:r>
      <w:r w:rsidR="002D77CB" w:rsidRPr="00E040D1">
        <w:rPr>
          <w:rFonts w:asciiTheme="majorBidi" w:hAnsiTheme="majorBidi" w:cstheme="majorBidi"/>
          <w:sz w:val="24"/>
          <w:szCs w:val="24"/>
          <w:lang w:bidi="ar-EG"/>
        </w:rPr>
        <w:t>d</w:t>
      </w:r>
      <w:r w:rsidRPr="00E040D1">
        <w:rPr>
          <w:rFonts w:asciiTheme="majorBidi" w:hAnsiTheme="majorBidi" w:cstheme="majorBidi"/>
          <w:sz w:val="24"/>
          <w:szCs w:val="24"/>
          <w:lang w:bidi="ar-EG"/>
        </w:rPr>
        <w:t xml:space="preserve"> dexamethasone (8 mg per </w:t>
      </w:r>
      <w:r w:rsidR="0054610C" w:rsidRPr="00E040D1">
        <w:rPr>
          <w:rFonts w:asciiTheme="majorBidi" w:hAnsiTheme="majorBidi" w:cstheme="majorBidi"/>
          <w:sz w:val="24"/>
          <w:szCs w:val="24"/>
          <w:lang w:bidi="ar-EG"/>
        </w:rPr>
        <w:t>day)</w:t>
      </w:r>
      <w:r w:rsidRPr="00E040D1">
        <w:rPr>
          <w:rFonts w:asciiTheme="majorBidi" w:hAnsiTheme="majorBidi" w:cstheme="majorBidi"/>
          <w:sz w:val="24"/>
          <w:szCs w:val="24"/>
          <w:lang w:bidi="ar-EG"/>
        </w:rPr>
        <w:t xml:space="preserve"> and </w:t>
      </w:r>
      <w:r w:rsidRPr="00E040D1">
        <w:rPr>
          <w:rFonts w:asciiTheme="majorBidi" w:hAnsiTheme="majorBidi" w:cstheme="majorBidi"/>
          <w:b/>
          <w:bCs/>
          <w:sz w:val="24"/>
          <w:szCs w:val="24"/>
          <w:lang w:bidi="ar-EG"/>
        </w:rPr>
        <w:t xml:space="preserve">Group </w:t>
      </w:r>
      <w:r w:rsidR="0054610C" w:rsidRPr="00E040D1">
        <w:rPr>
          <w:rFonts w:asciiTheme="majorBidi" w:hAnsiTheme="majorBidi" w:cstheme="majorBidi"/>
          <w:b/>
          <w:bCs/>
          <w:sz w:val="24"/>
          <w:szCs w:val="24"/>
          <w:lang w:bidi="ar-EG"/>
        </w:rPr>
        <w:t>2</w:t>
      </w:r>
      <w:r w:rsidR="0054610C" w:rsidRPr="00E040D1">
        <w:rPr>
          <w:rFonts w:asciiTheme="majorBidi" w:hAnsiTheme="majorBidi" w:cstheme="majorBidi"/>
          <w:sz w:val="24"/>
          <w:szCs w:val="24"/>
          <w:lang w:bidi="ar-EG"/>
        </w:rPr>
        <w:t>:</w:t>
      </w:r>
      <w:r w:rsidRPr="00E040D1">
        <w:rPr>
          <w:rFonts w:asciiTheme="majorBidi" w:hAnsiTheme="majorBidi" w:cstheme="majorBidi"/>
          <w:sz w:val="24"/>
          <w:szCs w:val="24"/>
          <w:lang w:bidi="ar-EG"/>
        </w:rPr>
        <w:t xml:space="preserve">  25 patients </w:t>
      </w:r>
      <w:r w:rsidR="0054610C" w:rsidRPr="00E040D1">
        <w:rPr>
          <w:rFonts w:asciiTheme="majorBidi" w:hAnsiTheme="majorBidi" w:cstheme="majorBidi"/>
          <w:sz w:val="24"/>
          <w:szCs w:val="24"/>
          <w:lang w:bidi="ar-EG"/>
        </w:rPr>
        <w:t>receive</w:t>
      </w:r>
      <w:r w:rsidR="002D77CB" w:rsidRPr="00E040D1">
        <w:rPr>
          <w:rFonts w:asciiTheme="majorBidi" w:hAnsiTheme="majorBidi" w:cstheme="majorBidi"/>
          <w:sz w:val="24"/>
          <w:szCs w:val="24"/>
          <w:lang w:bidi="ar-EG"/>
        </w:rPr>
        <w:t>d</w:t>
      </w:r>
      <w:r w:rsidR="0054610C" w:rsidRPr="00E040D1">
        <w:rPr>
          <w:rFonts w:asciiTheme="majorBidi" w:hAnsiTheme="majorBidi" w:cstheme="majorBidi"/>
          <w:sz w:val="24"/>
          <w:szCs w:val="24"/>
          <w:lang w:bidi="ar-EG"/>
        </w:rPr>
        <w:t xml:space="preserve"> Solumedrol</w:t>
      </w:r>
      <w:r w:rsidRPr="00E040D1">
        <w:rPr>
          <w:rFonts w:asciiTheme="majorBidi" w:hAnsiTheme="majorBidi" w:cstheme="majorBidi"/>
          <w:sz w:val="24"/>
          <w:szCs w:val="24"/>
          <w:lang w:bidi="ar-EG"/>
        </w:rPr>
        <w:t xml:space="preserve"> (2mg per Kg). </w:t>
      </w:r>
      <w:r w:rsidRPr="00E040D1">
        <w:rPr>
          <w:rFonts w:asciiTheme="majorBidi" w:hAnsiTheme="majorBidi" w:cstheme="majorBidi"/>
          <w:b/>
          <w:bCs/>
          <w:sz w:val="24"/>
          <w:szCs w:val="24"/>
          <w:lang w:bidi="ar-EG"/>
        </w:rPr>
        <w:t xml:space="preserve">Inclusion </w:t>
      </w:r>
      <w:r w:rsidR="0054610C" w:rsidRPr="00E040D1">
        <w:rPr>
          <w:rFonts w:asciiTheme="majorBidi" w:hAnsiTheme="majorBidi" w:cstheme="majorBidi"/>
          <w:b/>
          <w:bCs/>
          <w:sz w:val="24"/>
          <w:szCs w:val="24"/>
          <w:lang w:bidi="ar-EG"/>
        </w:rPr>
        <w:t>criteria were,</w:t>
      </w:r>
      <w:r w:rsidR="0054610C" w:rsidRPr="00E040D1">
        <w:rPr>
          <w:rFonts w:asciiTheme="majorBidi" w:hAnsiTheme="majorBidi" w:cstheme="majorBidi"/>
          <w:sz w:val="24"/>
          <w:szCs w:val="24"/>
          <w:lang w:bidi="ar-EG"/>
        </w:rPr>
        <w:t xml:space="preserve"> </w:t>
      </w:r>
      <w:r w:rsidR="002D77CB" w:rsidRPr="00E040D1">
        <w:rPr>
          <w:rFonts w:asciiTheme="majorBidi" w:hAnsiTheme="majorBidi" w:cstheme="majorBidi"/>
          <w:sz w:val="24"/>
          <w:szCs w:val="24"/>
          <w:lang w:bidi="ar-EG"/>
        </w:rPr>
        <w:t>h</w:t>
      </w:r>
      <w:r w:rsidR="0054610C" w:rsidRPr="00E040D1">
        <w:rPr>
          <w:rFonts w:asciiTheme="majorBidi" w:hAnsiTheme="majorBidi" w:cstheme="majorBidi"/>
          <w:sz w:val="24"/>
          <w:szCs w:val="24"/>
          <w:lang w:bidi="ar-EG"/>
        </w:rPr>
        <w:t xml:space="preserve">istory of contact to patients with Covid 19 Laboratory investigation (CBC – normal or low leucocytes with lymphopenia, Chest imaging (ground glass opacities) and PCR +ve for Covid 19. The </w:t>
      </w:r>
      <w:r w:rsidRPr="00E040D1">
        <w:rPr>
          <w:rFonts w:asciiTheme="majorBidi" w:hAnsiTheme="majorBidi" w:cstheme="majorBidi"/>
          <w:b/>
          <w:bCs/>
          <w:sz w:val="24"/>
          <w:szCs w:val="24"/>
          <w:lang w:bidi="ar-EG"/>
        </w:rPr>
        <w:t>exclusion criteria</w:t>
      </w:r>
      <w:r w:rsidR="0054610C" w:rsidRPr="00E040D1">
        <w:rPr>
          <w:rFonts w:asciiTheme="majorBidi" w:hAnsiTheme="majorBidi" w:cstheme="majorBidi"/>
          <w:b/>
          <w:bCs/>
          <w:sz w:val="24"/>
          <w:szCs w:val="24"/>
          <w:lang w:bidi="ar-EG"/>
        </w:rPr>
        <w:t xml:space="preserve"> were,</w:t>
      </w:r>
      <w:r w:rsidR="0054610C" w:rsidRPr="00E040D1">
        <w:rPr>
          <w:rFonts w:asciiTheme="majorBidi" w:hAnsiTheme="majorBidi" w:cstheme="majorBidi"/>
          <w:sz w:val="24"/>
          <w:szCs w:val="24"/>
          <w:lang w:bidi="ar-EG"/>
        </w:rPr>
        <w:t xml:space="preserve"> </w:t>
      </w:r>
      <w:r w:rsidR="002D77CB" w:rsidRPr="00E040D1">
        <w:rPr>
          <w:rFonts w:asciiTheme="majorBidi" w:hAnsiTheme="majorBidi" w:cstheme="majorBidi"/>
          <w:sz w:val="24"/>
          <w:szCs w:val="24"/>
          <w:lang w:bidi="ar-EG"/>
        </w:rPr>
        <w:t>a</w:t>
      </w:r>
      <w:r w:rsidRPr="00E040D1">
        <w:rPr>
          <w:rFonts w:asciiTheme="majorBidi" w:hAnsiTheme="majorBidi" w:cstheme="majorBidi"/>
          <w:sz w:val="24"/>
          <w:szCs w:val="24"/>
          <w:lang w:bidi="ar-EG"/>
        </w:rPr>
        <w:t>ge less than 21 years</w:t>
      </w:r>
      <w:r w:rsidR="0054610C" w:rsidRPr="00E040D1">
        <w:rPr>
          <w:rFonts w:asciiTheme="majorBidi" w:hAnsiTheme="majorBidi" w:cstheme="majorBidi"/>
          <w:sz w:val="24"/>
          <w:szCs w:val="24"/>
          <w:lang w:bidi="ar-EG"/>
        </w:rPr>
        <w:t xml:space="preserve">, </w:t>
      </w:r>
      <w:r w:rsidRPr="00E040D1">
        <w:rPr>
          <w:rFonts w:asciiTheme="majorBidi" w:hAnsiTheme="majorBidi" w:cstheme="majorBidi"/>
          <w:sz w:val="24"/>
          <w:szCs w:val="24"/>
          <w:lang w:bidi="ar-EG"/>
        </w:rPr>
        <w:lastRenderedPageBreak/>
        <w:t>Respiratory failure rather than covid 19</w:t>
      </w:r>
      <w:r w:rsidR="0054610C" w:rsidRPr="00E040D1">
        <w:rPr>
          <w:rFonts w:asciiTheme="majorBidi" w:hAnsiTheme="majorBidi" w:cstheme="majorBidi"/>
          <w:sz w:val="24"/>
          <w:szCs w:val="24"/>
          <w:lang w:bidi="ar-EG"/>
        </w:rPr>
        <w:t xml:space="preserve"> and Mild</w:t>
      </w:r>
      <w:r w:rsidRPr="00E040D1">
        <w:rPr>
          <w:rFonts w:asciiTheme="majorBidi" w:hAnsiTheme="majorBidi" w:cstheme="majorBidi"/>
          <w:sz w:val="24"/>
          <w:szCs w:val="24"/>
          <w:lang w:bidi="ar-EG"/>
        </w:rPr>
        <w:t xml:space="preserve"> cases of covid 19</w:t>
      </w:r>
      <w:r w:rsidR="0054610C" w:rsidRPr="00E040D1">
        <w:rPr>
          <w:rFonts w:asciiTheme="majorBidi" w:hAnsiTheme="majorBidi" w:cstheme="majorBidi"/>
          <w:sz w:val="24"/>
          <w:szCs w:val="24"/>
          <w:lang w:bidi="ar-EG"/>
        </w:rPr>
        <w:t xml:space="preserve">. </w:t>
      </w:r>
      <w:r w:rsidRPr="00E040D1">
        <w:rPr>
          <w:rFonts w:asciiTheme="majorBidi" w:hAnsiTheme="majorBidi" w:cstheme="majorBidi"/>
          <w:sz w:val="24"/>
          <w:szCs w:val="24"/>
          <w:lang w:bidi="ar-EG"/>
        </w:rPr>
        <w:t xml:space="preserve">All patients will applied for laboratory investigation </w:t>
      </w:r>
      <w:r w:rsidR="0054610C" w:rsidRPr="00E040D1">
        <w:rPr>
          <w:rFonts w:asciiTheme="majorBidi" w:hAnsiTheme="majorBidi" w:cstheme="majorBidi"/>
          <w:sz w:val="24"/>
          <w:szCs w:val="24"/>
          <w:lang w:bidi="ar-EG"/>
        </w:rPr>
        <w:t>(CBC, CRP</w:t>
      </w:r>
      <w:r w:rsidRPr="00E040D1">
        <w:rPr>
          <w:rFonts w:asciiTheme="majorBidi" w:hAnsiTheme="majorBidi" w:cstheme="majorBidi"/>
          <w:sz w:val="24"/>
          <w:szCs w:val="24"/>
          <w:lang w:bidi="ar-EG"/>
        </w:rPr>
        <w:t xml:space="preserve">, kidney function </w:t>
      </w:r>
      <w:r w:rsidR="0054610C" w:rsidRPr="00E040D1">
        <w:rPr>
          <w:rFonts w:asciiTheme="majorBidi" w:hAnsiTheme="majorBidi" w:cstheme="majorBidi"/>
          <w:sz w:val="24"/>
          <w:szCs w:val="24"/>
          <w:lang w:bidi="ar-EG"/>
        </w:rPr>
        <w:t>test,</w:t>
      </w:r>
      <w:r w:rsidRPr="00E040D1">
        <w:rPr>
          <w:rFonts w:asciiTheme="majorBidi" w:hAnsiTheme="majorBidi" w:cstheme="majorBidi"/>
          <w:sz w:val="24"/>
          <w:szCs w:val="24"/>
          <w:lang w:bidi="ar-EG"/>
        </w:rPr>
        <w:t xml:space="preserve"> ABG , liver function test , PCR) and chest imaging  at ten day from admission and days of stay in</w:t>
      </w:r>
      <w:r w:rsidR="0054610C" w:rsidRPr="00E040D1">
        <w:rPr>
          <w:rFonts w:asciiTheme="majorBidi" w:hAnsiTheme="majorBidi" w:cstheme="majorBidi"/>
          <w:sz w:val="24"/>
          <w:szCs w:val="24"/>
          <w:lang w:bidi="ar-EG"/>
        </w:rPr>
        <w:t xml:space="preserve"> ICU</w:t>
      </w:r>
      <w:r w:rsidRPr="00E040D1">
        <w:rPr>
          <w:rFonts w:asciiTheme="majorBidi" w:hAnsiTheme="majorBidi" w:cstheme="majorBidi"/>
          <w:sz w:val="24"/>
          <w:szCs w:val="24"/>
          <w:lang w:bidi="ar-EG"/>
        </w:rPr>
        <w:t>.</w:t>
      </w:r>
      <w:r w:rsidR="0054610C" w:rsidRPr="00E040D1">
        <w:rPr>
          <w:rFonts w:asciiTheme="majorBidi" w:hAnsiTheme="majorBidi" w:cstheme="majorBidi"/>
          <w:sz w:val="24"/>
          <w:szCs w:val="24"/>
        </w:rPr>
        <w:t xml:space="preserve"> The mean age of cases in group Dexa was 0.57.28±8.811 years while in group Sol it was 56.28±11.69 years. As </w:t>
      </w:r>
      <w:r w:rsidR="002D77CB" w:rsidRPr="00E040D1">
        <w:rPr>
          <w:rFonts w:asciiTheme="majorBidi" w:hAnsiTheme="majorBidi" w:cstheme="majorBidi"/>
          <w:sz w:val="24"/>
          <w:szCs w:val="24"/>
        </w:rPr>
        <w:t>regards</w:t>
      </w:r>
      <w:r w:rsidR="0054610C" w:rsidRPr="00E040D1">
        <w:rPr>
          <w:rFonts w:asciiTheme="majorBidi" w:hAnsiTheme="majorBidi" w:cstheme="majorBidi"/>
          <w:sz w:val="24"/>
          <w:szCs w:val="24"/>
        </w:rPr>
        <w:t xml:space="preserve"> patient weight the mean weight of cases in group Dex was 87.58±12.95 while in group Sol it was 85.48±13.32</w:t>
      </w:r>
      <w:r w:rsidR="00B7537F" w:rsidRPr="00E040D1">
        <w:rPr>
          <w:rFonts w:asciiTheme="majorBidi" w:hAnsiTheme="majorBidi" w:cstheme="majorBidi"/>
          <w:sz w:val="24"/>
          <w:szCs w:val="24"/>
        </w:rPr>
        <w:t>.</w:t>
      </w:r>
      <w:r w:rsidRPr="00E040D1">
        <w:rPr>
          <w:rFonts w:asciiTheme="majorBidi" w:hAnsiTheme="majorBidi" w:cstheme="majorBidi"/>
          <w:sz w:val="24"/>
          <w:szCs w:val="24"/>
          <w:lang w:bidi="ar-EG"/>
        </w:rPr>
        <w:t xml:space="preserve"> </w:t>
      </w:r>
    </w:p>
    <w:p w14:paraId="20231623" w14:textId="79D4D613" w:rsidR="00E836F8" w:rsidRPr="00E040D1" w:rsidRDefault="00E836F8" w:rsidP="00E040D1">
      <w:pPr>
        <w:spacing w:line="276" w:lineRule="auto"/>
        <w:jc w:val="both"/>
        <w:rPr>
          <w:rFonts w:asciiTheme="majorBidi" w:hAnsiTheme="majorBidi" w:cstheme="majorBidi"/>
          <w:b/>
          <w:bCs/>
          <w:sz w:val="24"/>
          <w:szCs w:val="24"/>
        </w:rPr>
      </w:pPr>
      <w:r w:rsidRPr="00E040D1">
        <w:rPr>
          <w:rFonts w:asciiTheme="majorBidi" w:hAnsiTheme="majorBidi" w:cstheme="majorBidi"/>
          <w:b/>
          <w:bCs/>
          <w:sz w:val="24"/>
          <w:szCs w:val="24"/>
        </w:rPr>
        <w:t>Statistical Analysis</w:t>
      </w:r>
    </w:p>
    <w:p w14:paraId="70E9ACFF" w14:textId="1571EB7A" w:rsidR="00E836F8" w:rsidRPr="00E040D1" w:rsidRDefault="00E836F8" w:rsidP="00E040D1">
      <w:pPr>
        <w:spacing w:line="276" w:lineRule="auto"/>
        <w:jc w:val="both"/>
        <w:rPr>
          <w:rFonts w:asciiTheme="majorBidi" w:hAnsiTheme="majorBidi" w:cstheme="majorBidi"/>
          <w:sz w:val="24"/>
          <w:szCs w:val="24"/>
        </w:rPr>
      </w:pPr>
      <w:r w:rsidRPr="00E040D1">
        <w:rPr>
          <w:rFonts w:asciiTheme="majorBidi" w:hAnsiTheme="majorBidi" w:cstheme="majorBidi"/>
          <w:sz w:val="24"/>
          <w:szCs w:val="24"/>
          <w:lang w:val="en-GB"/>
        </w:rPr>
        <w:t>The collected data was analysed using Statistical package for Social Science</w:t>
      </w:r>
      <w:r w:rsidR="001C0D25" w:rsidRPr="00E040D1">
        <w:rPr>
          <w:rFonts w:asciiTheme="majorBidi" w:hAnsiTheme="majorBidi" w:cstheme="majorBidi"/>
          <w:sz w:val="24"/>
          <w:szCs w:val="24"/>
          <w:lang w:val="en-GB"/>
        </w:rPr>
        <w:t>.</w:t>
      </w:r>
      <w:r w:rsidRPr="00E040D1">
        <w:rPr>
          <w:rFonts w:asciiTheme="majorBidi" w:hAnsiTheme="majorBidi" w:cstheme="majorBidi"/>
          <w:sz w:val="24"/>
          <w:szCs w:val="24"/>
          <w:lang w:val="en-GB"/>
        </w:rPr>
        <w:t xml:space="preserve"> </w:t>
      </w:r>
      <w:r w:rsidR="001C0D25" w:rsidRPr="00E040D1">
        <w:rPr>
          <w:rFonts w:asciiTheme="majorBidi" w:hAnsiTheme="majorBidi" w:cstheme="majorBidi"/>
          <w:sz w:val="24"/>
          <w:szCs w:val="24"/>
          <w:lang w:val="en-GB"/>
        </w:rPr>
        <w:t>(</w:t>
      </w:r>
      <w:r w:rsidRPr="00E040D1">
        <w:rPr>
          <w:rFonts w:asciiTheme="majorBidi" w:hAnsiTheme="majorBidi" w:cstheme="majorBidi"/>
          <w:sz w:val="24"/>
          <w:szCs w:val="24"/>
          <w:lang w:val="en-GB"/>
        </w:rPr>
        <w:t>IBM SPSS Statistics for Windows, Version 25.0. Armonk, NY: IBM Corp.). Student T Test was used to assess the statistical significance of the difference between two study group means.</w:t>
      </w:r>
      <w:r w:rsidRPr="00E040D1">
        <w:rPr>
          <w:rFonts w:asciiTheme="majorBidi" w:hAnsiTheme="majorBidi" w:cstheme="majorBidi"/>
          <w:sz w:val="24"/>
          <w:szCs w:val="24"/>
        </w:rPr>
        <w:t xml:space="preserve">A </w:t>
      </w:r>
      <w:r w:rsidRPr="00E040D1">
        <w:rPr>
          <w:rFonts w:asciiTheme="majorBidi" w:hAnsiTheme="majorBidi" w:cstheme="majorBidi"/>
          <w:i/>
          <w:iCs/>
          <w:sz w:val="24"/>
          <w:szCs w:val="24"/>
        </w:rPr>
        <w:t>p</w:t>
      </w:r>
      <w:r w:rsidRPr="00E040D1">
        <w:rPr>
          <w:rFonts w:asciiTheme="majorBidi" w:hAnsiTheme="majorBidi" w:cstheme="majorBidi"/>
          <w:sz w:val="24"/>
          <w:szCs w:val="24"/>
        </w:rPr>
        <w:t xml:space="preserve"> value is considered significant if &lt;0.05 at confidence interval 95%.</w:t>
      </w:r>
    </w:p>
    <w:p w14:paraId="7F804AB6" w14:textId="77777777" w:rsidR="00097C38" w:rsidRPr="00E040D1" w:rsidRDefault="00097C38" w:rsidP="00E040D1">
      <w:pPr>
        <w:tabs>
          <w:tab w:val="right" w:pos="284"/>
          <w:tab w:val="left" w:pos="3572"/>
          <w:tab w:val="left" w:pos="8170"/>
        </w:tabs>
        <w:spacing w:line="276" w:lineRule="auto"/>
        <w:jc w:val="lowKashida"/>
        <w:rPr>
          <w:rFonts w:asciiTheme="majorBidi" w:hAnsiTheme="majorBidi" w:cstheme="majorBidi"/>
          <w:sz w:val="24"/>
          <w:szCs w:val="24"/>
          <w:lang w:bidi="ar-EG"/>
        </w:rPr>
        <w:sectPr w:rsidR="00097C38" w:rsidRPr="00E040D1" w:rsidSect="00B7496A">
          <w:type w:val="continuous"/>
          <w:pgSz w:w="12240" w:h="15840"/>
          <w:pgMar w:top="1440" w:right="1440" w:bottom="1440" w:left="1440" w:header="720" w:footer="720" w:gutter="0"/>
          <w:cols w:num="2" w:space="720"/>
          <w:docGrid w:linePitch="360"/>
        </w:sectPr>
      </w:pPr>
    </w:p>
    <w:p w14:paraId="29A01915" w14:textId="37A8024A" w:rsidR="00B7537F" w:rsidRPr="00E040D1" w:rsidRDefault="00B7537F" w:rsidP="00E040D1">
      <w:pPr>
        <w:tabs>
          <w:tab w:val="right" w:pos="284"/>
          <w:tab w:val="left" w:pos="3572"/>
          <w:tab w:val="left" w:pos="8170"/>
        </w:tabs>
        <w:spacing w:before="240" w:line="276" w:lineRule="auto"/>
        <w:jc w:val="lowKashida"/>
        <w:rPr>
          <w:rFonts w:asciiTheme="majorBidi" w:hAnsiTheme="majorBidi" w:cstheme="majorBidi"/>
          <w:b/>
          <w:bCs/>
          <w:sz w:val="24"/>
          <w:szCs w:val="24"/>
          <w:lang w:bidi="ar-EG"/>
        </w:rPr>
      </w:pPr>
      <w:r w:rsidRPr="00E040D1">
        <w:rPr>
          <w:rFonts w:asciiTheme="majorBidi" w:hAnsiTheme="majorBidi" w:cstheme="majorBidi"/>
          <w:b/>
          <w:bCs/>
          <w:sz w:val="24"/>
          <w:szCs w:val="24"/>
          <w:lang w:bidi="ar-EG"/>
        </w:rPr>
        <w:lastRenderedPageBreak/>
        <w:t>Results</w:t>
      </w:r>
    </w:p>
    <w:p w14:paraId="4BB0C9DD" w14:textId="10B34FA6" w:rsidR="00B7537F" w:rsidRPr="00E040D1" w:rsidRDefault="00C91ECB" w:rsidP="00E040D1">
      <w:pPr>
        <w:tabs>
          <w:tab w:val="right" w:pos="284"/>
          <w:tab w:val="left" w:pos="3572"/>
          <w:tab w:val="left" w:pos="8170"/>
        </w:tabs>
        <w:spacing w:line="276" w:lineRule="auto"/>
        <w:jc w:val="lowKashida"/>
        <w:rPr>
          <w:rFonts w:asciiTheme="majorBidi" w:hAnsiTheme="majorBidi" w:cstheme="majorBidi"/>
          <w:sz w:val="24"/>
          <w:szCs w:val="24"/>
        </w:rPr>
      </w:pPr>
      <w:r w:rsidRPr="00E040D1">
        <w:rPr>
          <w:rFonts w:asciiTheme="majorBidi" w:hAnsiTheme="majorBidi" w:cstheme="majorBidi"/>
          <w:sz w:val="24"/>
          <w:szCs w:val="24"/>
          <w:lang w:bidi="ar-EG"/>
        </w:rPr>
        <w:t xml:space="preserve">Table 1 shows comparison of PH, PaCO2 and  PaO2 at different follow up points among studied groups. </w:t>
      </w:r>
      <w:r w:rsidR="00CA4199" w:rsidRPr="00E040D1">
        <w:rPr>
          <w:rFonts w:asciiTheme="majorBidi" w:hAnsiTheme="majorBidi" w:cstheme="majorBidi"/>
          <w:sz w:val="24"/>
          <w:szCs w:val="24"/>
          <w:lang w:bidi="ar-EG"/>
        </w:rPr>
        <w:t>PaO2 showed significant</w:t>
      </w:r>
      <w:r w:rsidR="00CA4199" w:rsidRPr="00E040D1">
        <w:rPr>
          <w:rFonts w:asciiTheme="majorBidi" w:hAnsiTheme="majorBidi" w:cstheme="majorBidi"/>
          <w:sz w:val="24"/>
          <w:szCs w:val="24"/>
        </w:rPr>
        <w:t xml:space="preserve"> increase at 10</w:t>
      </w:r>
      <w:r w:rsidR="00CA4199" w:rsidRPr="00E040D1">
        <w:rPr>
          <w:rFonts w:asciiTheme="majorBidi" w:hAnsiTheme="majorBidi" w:cstheme="majorBidi"/>
          <w:sz w:val="24"/>
          <w:szCs w:val="24"/>
          <w:vertAlign w:val="superscript"/>
        </w:rPr>
        <w:t>th</w:t>
      </w:r>
      <w:r w:rsidR="00CA4199" w:rsidRPr="00E040D1">
        <w:rPr>
          <w:rFonts w:asciiTheme="majorBidi" w:hAnsiTheme="majorBidi" w:cstheme="majorBidi"/>
          <w:sz w:val="24"/>
          <w:szCs w:val="24"/>
        </w:rPr>
        <w:t xml:space="preserve"> day in DEX when compared to SOL group (p=0.005). Otherwise, no significant differences were found between both groups regarding pH, PaCO2 and PaO2 at different follow up point (p&gt;0.05) </w:t>
      </w:r>
      <w:r w:rsidR="00E040D1">
        <w:rPr>
          <w:rFonts w:asciiTheme="majorBidi" w:hAnsiTheme="majorBidi" w:cstheme="majorBidi"/>
          <w:sz w:val="24"/>
          <w:szCs w:val="24"/>
        </w:rPr>
        <w:t>(</w:t>
      </w:r>
      <w:r w:rsidR="00E040D1">
        <w:rPr>
          <w:rFonts w:asciiTheme="majorBidi" w:hAnsiTheme="majorBidi" w:cstheme="majorBidi"/>
          <w:b/>
          <w:bCs/>
          <w:sz w:val="24"/>
          <w:szCs w:val="24"/>
        </w:rPr>
        <w:t>table</w:t>
      </w:r>
      <w:r w:rsidR="00CA4199" w:rsidRPr="00E040D1">
        <w:rPr>
          <w:rFonts w:asciiTheme="majorBidi" w:hAnsiTheme="majorBidi" w:cstheme="majorBidi"/>
          <w:b/>
          <w:bCs/>
          <w:sz w:val="24"/>
          <w:szCs w:val="24"/>
        </w:rPr>
        <w:t>1).</w:t>
      </w:r>
    </w:p>
    <w:p w14:paraId="6295C83D" w14:textId="5516D774" w:rsidR="00C91ECB" w:rsidRPr="00E040D1" w:rsidRDefault="00C91ECB" w:rsidP="00E040D1">
      <w:pPr>
        <w:tabs>
          <w:tab w:val="right" w:pos="284"/>
          <w:tab w:val="left" w:pos="3572"/>
          <w:tab w:val="left" w:pos="8170"/>
        </w:tabs>
        <w:spacing w:line="276" w:lineRule="auto"/>
        <w:jc w:val="lowKashida"/>
        <w:rPr>
          <w:rFonts w:asciiTheme="majorBidi" w:hAnsiTheme="majorBidi" w:cstheme="majorBidi"/>
          <w:sz w:val="24"/>
          <w:szCs w:val="24"/>
          <w:lang w:bidi="ar-EG"/>
        </w:rPr>
      </w:pPr>
      <w:r w:rsidRPr="00E040D1">
        <w:rPr>
          <w:rFonts w:asciiTheme="majorBidi" w:hAnsiTheme="majorBidi" w:cstheme="majorBidi"/>
          <w:sz w:val="24"/>
          <w:szCs w:val="24"/>
          <w:lang w:bidi="ar-EG"/>
        </w:rPr>
        <w:t xml:space="preserve">Table 2 shows comparison of laboratory </w:t>
      </w:r>
      <w:r w:rsidR="008415DC" w:rsidRPr="00E040D1">
        <w:rPr>
          <w:rFonts w:asciiTheme="majorBidi" w:hAnsiTheme="majorBidi" w:cstheme="majorBidi"/>
          <w:sz w:val="24"/>
          <w:szCs w:val="24"/>
          <w:lang w:bidi="ar-EG"/>
        </w:rPr>
        <w:t xml:space="preserve">and radiologic </w:t>
      </w:r>
      <w:r w:rsidRPr="00E040D1">
        <w:rPr>
          <w:rFonts w:asciiTheme="majorBidi" w:hAnsiTheme="majorBidi" w:cstheme="majorBidi"/>
          <w:sz w:val="24"/>
          <w:szCs w:val="24"/>
          <w:lang w:bidi="ar-EG"/>
        </w:rPr>
        <w:t>parameters on admission and 10</w:t>
      </w:r>
      <w:r w:rsidRPr="00E040D1">
        <w:rPr>
          <w:rFonts w:asciiTheme="majorBidi" w:hAnsiTheme="majorBidi" w:cstheme="majorBidi"/>
          <w:sz w:val="24"/>
          <w:szCs w:val="24"/>
          <w:vertAlign w:val="superscript"/>
          <w:lang w:bidi="ar-EG"/>
        </w:rPr>
        <w:t>th</w:t>
      </w:r>
      <w:r w:rsidRPr="00E040D1">
        <w:rPr>
          <w:rFonts w:asciiTheme="majorBidi" w:hAnsiTheme="majorBidi" w:cstheme="majorBidi"/>
          <w:sz w:val="24"/>
          <w:szCs w:val="24"/>
          <w:lang w:bidi="ar-EG"/>
        </w:rPr>
        <w:t xml:space="preserve"> day among studied groups. DEX group </w:t>
      </w:r>
      <w:r w:rsidRPr="00E040D1">
        <w:rPr>
          <w:rFonts w:asciiTheme="majorBidi" w:hAnsiTheme="majorBidi" w:cstheme="majorBidi"/>
          <w:sz w:val="24"/>
          <w:szCs w:val="24"/>
          <w:lang w:bidi="ar-EG"/>
        </w:rPr>
        <w:lastRenderedPageBreak/>
        <w:t>showed significantly higher AST on 10</w:t>
      </w:r>
      <w:r w:rsidRPr="00E040D1">
        <w:rPr>
          <w:rFonts w:asciiTheme="majorBidi" w:hAnsiTheme="majorBidi" w:cstheme="majorBidi"/>
          <w:sz w:val="24"/>
          <w:szCs w:val="24"/>
          <w:vertAlign w:val="superscript"/>
          <w:lang w:bidi="ar-EG"/>
        </w:rPr>
        <w:t>th</w:t>
      </w:r>
      <w:r w:rsidRPr="00E040D1">
        <w:rPr>
          <w:rFonts w:asciiTheme="majorBidi" w:hAnsiTheme="majorBidi" w:cstheme="majorBidi"/>
          <w:sz w:val="24"/>
          <w:szCs w:val="24"/>
          <w:lang w:bidi="ar-EG"/>
        </w:rPr>
        <w:t xml:space="preserve"> day, significantly lower AST on admission, D dimer, ferritin on admission and 10</w:t>
      </w:r>
      <w:r w:rsidRPr="00E040D1">
        <w:rPr>
          <w:rFonts w:asciiTheme="majorBidi" w:hAnsiTheme="majorBidi" w:cstheme="majorBidi"/>
          <w:sz w:val="24"/>
          <w:szCs w:val="24"/>
          <w:vertAlign w:val="superscript"/>
          <w:lang w:bidi="ar-EG"/>
        </w:rPr>
        <w:t>th</w:t>
      </w:r>
      <w:r w:rsidRPr="00E040D1">
        <w:rPr>
          <w:rFonts w:asciiTheme="majorBidi" w:hAnsiTheme="majorBidi" w:cstheme="majorBidi"/>
          <w:sz w:val="24"/>
          <w:szCs w:val="24"/>
          <w:lang w:bidi="ar-EG"/>
        </w:rPr>
        <w:t xml:space="preserve"> day, NLR on 10</w:t>
      </w:r>
      <w:r w:rsidRPr="00E040D1">
        <w:rPr>
          <w:rFonts w:asciiTheme="majorBidi" w:hAnsiTheme="majorBidi" w:cstheme="majorBidi"/>
          <w:sz w:val="24"/>
          <w:szCs w:val="24"/>
          <w:vertAlign w:val="superscript"/>
          <w:lang w:bidi="ar-EG"/>
        </w:rPr>
        <w:t>th</w:t>
      </w:r>
      <w:r w:rsidRPr="00E040D1">
        <w:rPr>
          <w:rFonts w:asciiTheme="majorBidi" w:hAnsiTheme="majorBidi" w:cstheme="majorBidi"/>
          <w:sz w:val="24"/>
          <w:szCs w:val="24"/>
          <w:lang w:bidi="ar-EG"/>
        </w:rPr>
        <w:t xml:space="preserve"> day when compared to SOL group. Otherwise, no significant differences were found between both groups regarding laboratory parameters (</w:t>
      </w:r>
      <w:r w:rsidRPr="00E040D1">
        <w:rPr>
          <w:rFonts w:asciiTheme="majorBidi" w:hAnsiTheme="majorBidi" w:cstheme="majorBidi"/>
          <w:b/>
          <w:bCs/>
          <w:sz w:val="24"/>
          <w:szCs w:val="24"/>
          <w:lang w:bidi="ar-EG"/>
        </w:rPr>
        <w:t>Table 2</w:t>
      </w:r>
      <w:r w:rsidR="00927B7C" w:rsidRPr="00E040D1">
        <w:rPr>
          <w:rFonts w:asciiTheme="majorBidi" w:hAnsiTheme="majorBidi" w:cstheme="majorBidi"/>
          <w:b/>
          <w:bCs/>
          <w:sz w:val="24"/>
          <w:szCs w:val="24"/>
          <w:lang w:bidi="ar-EG"/>
        </w:rPr>
        <w:t>, figure 1).</w:t>
      </w:r>
    </w:p>
    <w:p w14:paraId="2CEF60FF" w14:textId="6854606B" w:rsidR="00097C38" w:rsidRPr="00E040D1" w:rsidRDefault="00C91ECB" w:rsidP="00E040D1">
      <w:pPr>
        <w:spacing w:before="200" w:after="0" w:line="276" w:lineRule="auto"/>
        <w:jc w:val="both"/>
        <w:rPr>
          <w:rFonts w:asciiTheme="majorBidi" w:hAnsiTheme="majorBidi" w:cstheme="majorBidi"/>
          <w:b/>
          <w:bCs/>
          <w:sz w:val="24"/>
          <w:szCs w:val="24"/>
          <w:lang w:bidi="ar-EG"/>
        </w:rPr>
      </w:pPr>
      <w:r w:rsidRPr="00E040D1">
        <w:rPr>
          <w:rFonts w:asciiTheme="majorBidi" w:hAnsiTheme="majorBidi" w:cstheme="majorBidi"/>
          <w:sz w:val="24"/>
          <w:szCs w:val="24"/>
          <w:lang w:bidi="ar-EG"/>
        </w:rPr>
        <w:t xml:space="preserve">Table 3 shows comparison of ICU stay and mortality among studied groups. DEX group showed significantly higher </w:t>
      </w:r>
      <w:r w:rsidR="00427926" w:rsidRPr="00E040D1">
        <w:rPr>
          <w:rFonts w:asciiTheme="majorBidi" w:hAnsiTheme="majorBidi" w:cstheme="majorBidi"/>
          <w:sz w:val="24"/>
          <w:szCs w:val="24"/>
          <w:lang w:bidi="ar-EG"/>
        </w:rPr>
        <w:t>mortality</w:t>
      </w:r>
      <w:r w:rsidRPr="00E040D1">
        <w:rPr>
          <w:rFonts w:asciiTheme="majorBidi" w:hAnsiTheme="majorBidi" w:cstheme="majorBidi"/>
          <w:sz w:val="24"/>
          <w:szCs w:val="24"/>
          <w:lang w:bidi="ar-EG"/>
        </w:rPr>
        <w:t xml:space="preserve"> when compared </w:t>
      </w:r>
      <w:r w:rsidR="00427926" w:rsidRPr="00E040D1">
        <w:rPr>
          <w:rFonts w:asciiTheme="majorBidi" w:hAnsiTheme="majorBidi" w:cstheme="majorBidi"/>
          <w:sz w:val="24"/>
          <w:szCs w:val="24"/>
          <w:lang w:bidi="ar-EG"/>
        </w:rPr>
        <w:t>t</w:t>
      </w:r>
      <w:r w:rsidRPr="00E040D1">
        <w:rPr>
          <w:rFonts w:asciiTheme="majorBidi" w:hAnsiTheme="majorBidi" w:cstheme="majorBidi"/>
          <w:sz w:val="24"/>
          <w:szCs w:val="24"/>
          <w:lang w:bidi="ar-EG"/>
        </w:rPr>
        <w:t>o SOL group.</w:t>
      </w:r>
      <w:r w:rsidR="00427926" w:rsidRPr="00E040D1">
        <w:rPr>
          <w:rFonts w:asciiTheme="majorBidi" w:hAnsiTheme="majorBidi" w:cstheme="majorBidi"/>
          <w:sz w:val="24"/>
          <w:szCs w:val="24"/>
          <w:lang w:bidi="ar-EG"/>
        </w:rPr>
        <w:t xml:space="preserve"> ICU stay did not differ significantly between both groups (</w:t>
      </w:r>
      <w:r w:rsidR="00427926" w:rsidRPr="00E040D1">
        <w:rPr>
          <w:rFonts w:asciiTheme="majorBidi" w:hAnsiTheme="majorBidi" w:cstheme="majorBidi"/>
          <w:b/>
          <w:bCs/>
          <w:sz w:val="24"/>
          <w:szCs w:val="24"/>
          <w:lang w:bidi="ar-EG"/>
        </w:rPr>
        <w:t>Table 3</w:t>
      </w:r>
      <w:r w:rsidR="00927B7C" w:rsidRPr="00E040D1">
        <w:rPr>
          <w:rFonts w:asciiTheme="majorBidi" w:hAnsiTheme="majorBidi" w:cstheme="majorBidi"/>
          <w:b/>
          <w:bCs/>
          <w:sz w:val="24"/>
          <w:szCs w:val="24"/>
          <w:lang w:bidi="ar-EG"/>
        </w:rPr>
        <w:t>, figure 2</w:t>
      </w:r>
      <w:r w:rsidR="00427926" w:rsidRPr="00E040D1">
        <w:rPr>
          <w:rFonts w:asciiTheme="majorBidi" w:hAnsiTheme="majorBidi" w:cstheme="majorBidi"/>
          <w:b/>
          <w:bCs/>
          <w:sz w:val="24"/>
          <w:szCs w:val="24"/>
          <w:lang w:bidi="ar-EG"/>
        </w:rPr>
        <w:t>).</w:t>
      </w:r>
    </w:p>
    <w:p w14:paraId="778FFDCA" w14:textId="77777777" w:rsidR="00C00EC4" w:rsidRPr="00E040D1" w:rsidRDefault="00C00EC4" w:rsidP="00E040D1">
      <w:pPr>
        <w:spacing w:before="200" w:after="0" w:line="276" w:lineRule="auto"/>
        <w:jc w:val="both"/>
        <w:rPr>
          <w:rFonts w:asciiTheme="majorBidi" w:hAnsiTheme="majorBidi" w:cstheme="majorBidi"/>
          <w:b/>
          <w:bCs/>
          <w:sz w:val="24"/>
          <w:szCs w:val="24"/>
        </w:rPr>
        <w:sectPr w:rsidR="00C00EC4" w:rsidRPr="00E040D1" w:rsidSect="00B7496A">
          <w:type w:val="continuous"/>
          <w:pgSz w:w="12240" w:h="15840"/>
          <w:pgMar w:top="1440" w:right="1440" w:bottom="1440" w:left="1440" w:header="720" w:footer="720" w:gutter="0"/>
          <w:cols w:num="2" w:space="720"/>
          <w:docGrid w:linePitch="360"/>
        </w:sectPr>
      </w:pPr>
    </w:p>
    <w:p w14:paraId="6F3848E9" w14:textId="02531E08" w:rsidR="006378DF" w:rsidRPr="00E040D1" w:rsidRDefault="006378DF" w:rsidP="00E040D1">
      <w:pPr>
        <w:spacing w:before="200" w:after="0" w:line="276" w:lineRule="auto"/>
        <w:jc w:val="both"/>
        <w:rPr>
          <w:rFonts w:asciiTheme="majorBidi" w:hAnsiTheme="majorBidi" w:cstheme="majorBidi"/>
          <w:b/>
          <w:bCs/>
          <w:sz w:val="24"/>
          <w:szCs w:val="24"/>
        </w:rPr>
      </w:pPr>
      <w:r w:rsidRPr="00E040D1">
        <w:rPr>
          <w:rFonts w:asciiTheme="majorBidi" w:hAnsiTheme="majorBidi" w:cstheme="majorBidi"/>
          <w:b/>
          <w:bCs/>
          <w:sz w:val="24"/>
          <w:szCs w:val="24"/>
        </w:rPr>
        <w:lastRenderedPageBreak/>
        <w:t>Discussion</w:t>
      </w:r>
    </w:p>
    <w:p w14:paraId="5EC6E881" w14:textId="595E1ACE" w:rsidR="0030369A" w:rsidRPr="00E040D1" w:rsidRDefault="006A0616" w:rsidP="00E040D1">
      <w:pPr>
        <w:shd w:val="clear" w:color="auto" w:fill="FFFFFF"/>
        <w:spacing w:after="240" w:line="276" w:lineRule="auto"/>
        <w:jc w:val="both"/>
        <w:rPr>
          <w:rFonts w:asciiTheme="majorBidi" w:eastAsia="Times New Roman" w:hAnsiTheme="majorBidi" w:cstheme="majorBidi"/>
          <w:sz w:val="24"/>
          <w:szCs w:val="24"/>
        </w:rPr>
      </w:pPr>
      <w:r w:rsidRPr="00E040D1">
        <w:rPr>
          <w:rFonts w:asciiTheme="majorBidi" w:hAnsiTheme="majorBidi" w:cstheme="majorBidi"/>
          <w:sz w:val="24"/>
          <w:szCs w:val="24"/>
        </w:rPr>
        <w:t xml:space="preserve">Covid 19 is a disease caused by a virus belonging to SARS Co V2 family of viruses. It primarily effects the lungs resulting in </w:t>
      </w:r>
      <w:r w:rsidRPr="00E040D1">
        <w:rPr>
          <w:rFonts w:asciiTheme="majorBidi" w:hAnsiTheme="majorBidi" w:cstheme="majorBidi"/>
          <w:sz w:val="24"/>
          <w:szCs w:val="24"/>
        </w:rPr>
        <w:lastRenderedPageBreak/>
        <w:t xml:space="preserve">inflammation and pneumonia. Based on clinical, biochemical and radiological parameters it is divided into mild, moderate and severe disease. In mild disease there is </w:t>
      </w:r>
      <w:r w:rsidRPr="00E040D1">
        <w:rPr>
          <w:rFonts w:asciiTheme="majorBidi" w:hAnsiTheme="majorBidi" w:cstheme="majorBidi"/>
          <w:sz w:val="24"/>
          <w:szCs w:val="24"/>
        </w:rPr>
        <w:lastRenderedPageBreak/>
        <w:t>fever and upper respiratory signs but no documented hypoxia or x-ray infiltrates. In moderate disease, there is tachypnea &gt;30/min, hypoxia (SpO 2 &lt; 94%) and infiltrates &gt; 50% on chest x-ray and CT scan</w:t>
      </w:r>
      <w:r w:rsidRPr="00E040D1">
        <w:rPr>
          <w:rFonts w:asciiTheme="majorBidi" w:hAnsiTheme="majorBidi" w:cstheme="majorBidi"/>
          <w:b/>
          <w:bCs/>
          <w:sz w:val="24"/>
          <w:szCs w:val="24"/>
        </w:rPr>
        <w:t xml:space="preserve"> </w:t>
      </w:r>
      <w:r w:rsidR="006378DF" w:rsidRPr="00E040D1">
        <w:rPr>
          <w:rFonts w:asciiTheme="majorBidi" w:hAnsiTheme="majorBidi" w:cstheme="majorBidi"/>
          <w:b/>
          <w:bCs/>
          <w:sz w:val="24"/>
          <w:szCs w:val="24"/>
        </w:rPr>
        <w:t>(</w:t>
      </w:r>
      <w:r w:rsidR="000D4244" w:rsidRPr="00E040D1">
        <w:rPr>
          <w:rFonts w:asciiTheme="majorBidi" w:hAnsiTheme="majorBidi" w:cstheme="majorBidi"/>
          <w:b/>
          <w:bCs/>
          <w:sz w:val="24"/>
          <w:szCs w:val="24"/>
        </w:rPr>
        <w:t>43</w:t>
      </w:r>
      <w:r w:rsidR="006378DF" w:rsidRPr="00E040D1">
        <w:rPr>
          <w:rFonts w:asciiTheme="majorBidi" w:hAnsiTheme="majorBidi" w:cstheme="majorBidi"/>
          <w:b/>
          <w:bCs/>
          <w:sz w:val="24"/>
          <w:szCs w:val="24"/>
        </w:rPr>
        <w:t>).</w:t>
      </w:r>
      <w:r w:rsidR="006378DF" w:rsidRPr="00E040D1">
        <w:rPr>
          <w:rFonts w:asciiTheme="majorBidi" w:hAnsiTheme="majorBidi" w:cstheme="majorBidi"/>
          <w:sz w:val="24"/>
          <w:szCs w:val="24"/>
        </w:rPr>
        <w:t xml:space="preserve"> </w:t>
      </w:r>
      <w:r w:rsidR="00F24679" w:rsidRPr="00E040D1">
        <w:rPr>
          <w:rFonts w:asciiTheme="majorBidi" w:hAnsiTheme="majorBidi" w:cstheme="majorBidi"/>
          <w:sz w:val="24"/>
          <w:szCs w:val="24"/>
        </w:rPr>
        <w:t>Whereas in severe disease patient needs mechanical ventilation and biochemical parameters suggest cytokine storm and patient can develop multi-organ failure. In mild disease patient can be managed at home with symptomatic treatment. In moderate disease patient is admitted in hospital and given supplemental oxygen along with other treatment modalities (</w:t>
      </w:r>
      <w:r w:rsidR="000D4244" w:rsidRPr="00E040D1">
        <w:rPr>
          <w:rFonts w:asciiTheme="majorBidi" w:hAnsiTheme="majorBidi" w:cstheme="majorBidi"/>
          <w:sz w:val="24"/>
          <w:szCs w:val="24"/>
        </w:rPr>
        <w:t>44</w:t>
      </w:r>
      <w:r w:rsidR="00F24679" w:rsidRPr="00E040D1">
        <w:rPr>
          <w:rFonts w:asciiTheme="majorBidi" w:hAnsiTheme="majorBidi" w:cstheme="majorBidi"/>
          <w:sz w:val="24"/>
          <w:szCs w:val="24"/>
        </w:rPr>
        <w:t>). This</w:t>
      </w:r>
      <w:r w:rsidR="006378DF" w:rsidRPr="00E040D1">
        <w:rPr>
          <w:rFonts w:asciiTheme="majorBidi" w:hAnsiTheme="majorBidi" w:cstheme="majorBidi"/>
          <w:sz w:val="24"/>
          <w:szCs w:val="24"/>
        </w:rPr>
        <w:t xml:space="preserve"> work was designed to detect the difference between using either Methylprednisolone versus Dexamethasone in critically ill Covid 19 patients and their effects on outcome morbidity and mortality. The current study was carried out on one hundred adult patients of moderate to severe cases of Covid 19.</w:t>
      </w:r>
      <w:r w:rsidR="006378DF" w:rsidRPr="00E040D1">
        <w:rPr>
          <w:rFonts w:asciiTheme="majorBidi" w:hAnsiTheme="majorBidi" w:cstheme="majorBidi"/>
          <w:b/>
          <w:bCs/>
          <w:sz w:val="24"/>
          <w:szCs w:val="24"/>
        </w:rPr>
        <w:t xml:space="preserve"> </w:t>
      </w:r>
      <w:r w:rsidR="006378DF" w:rsidRPr="00E040D1">
        <w:rPr>
          <w:rFonts w:asciiTheme="majorBidi" w:hAnsiTheme="majorBidi" w:cstheme="majorBidi"/>
          <w:sz w:val="24"/>
          <w:szCs w:val="24"/>
        </w:rPr>
        <w:t xml:space="preserve">Patients were divided into two </w:t>
      </w:r>
      <w:r w:rsidR="00F24679" w:rsidRPr="00E040D1">
        <w:rPr>
          <w:rFonts w:asciiTheme="majorBidi" w:hAnsiTheme="majorBidi" w:cstheme="majorBidi"/>
          <w:sz w:val="24"/>
          <w:szCs w:val="24"/>
        </w:rPr>
        <w:t>groups. The</w:t>
      </w:r>
      <w:r w:rsidR="006378DF" w:rsidRPr="00E040D1">
        <w:rPr>
          <w:rFonts w:asciiTheme="majorBidi" w:hAnsiTheme="majorBidi" w:cstheme="majorBidi"/>
          <w:sz w:val="24"/>
          <w:szCs w:val="24"/>
        </w:rPr>
        <w:t xml:space="preserve"> first group </w:t>
      </w:r>
      <w:r w:rsidR="00F24679" w:rsidRPr="00E040D1">
        <w:rPr>
          <w:rFonts w:asciiTheme="majorBidi" w:hAnsiTheme="majorBidi" w:cstheme="majorBidi"/>
          <w:sz w:val="24"/>
          <w:szCs w:val="24"/>
        </w:rPr>
        <w:t>received</w:t>
      </w:r>
      <w:r w:rsidR="006378DF" w:rsidRPr="00E040D1">
        <w:rPr>
          <w:rFonts w:asciiTheme="majorBidi" w:hAnsiTheme="majorBidi" w:cstheme="majorBidi"/>
          <w:sz w:val="24"/>
          <w:szCs w:val="24"/>
        </w:rPr>
        <w:t xml:space="preserve"> Dexamethasone with dose of 6mg /kg/day while the second group received </w:t>
      </w:r>
      <w:r w:rsidR="00F24679" w:rsidRPr="00E040D1">
        <w:rPr>
          <w:rFonts w:asciiTheme="majorBidi" w:hAnsiTheme="majorBidi" w:cstheme="majorBidi"/>
          <w:sz w:val="24"/>
          <w:szCs w:val="24"/>
        </w:rPr>
        <w:t>Methylprednisolone</w:t>
      </w:r>
      <w:r w:rsidR="006378DF" w:rsidRPr="00E040D1">
        <w:rPr>
          <w:rFonts w:asciiTheme="majorBidi" w:hAnsiTheme="majorBidi" w:cstheme="majorBidi"/>
          <w:sz w:val="24"/>
          <w:szCs w:val="24"/>
        </w:rPr>
        <w:t xml:space="preserve"> with dose of 2mg/kg/day.</w:t>
      </w:r>
      <w:bookmarkStart w:id="3" w:name="_Hlk95000466"/>
      <w:bookmarkStart w:id="4" w:name="_Hlk94996164"/>
      <w:r w:rsidR="006378DF" w:rsidRPr="00E040D1">
        <w:rPr>
          <w:rFonts w:asciiTheme="majorBidi" w:hAnsiTheme="majorBidi" w:cstheme="majorBidi"/>
          <w:b/>
          <w:bCs/>
          <w:sz w:val="24"/>
          <w:szCs w:val="24"/>
        </w:rPr>
        <w:t xml:space="preserve"> </w:t>
      </w:r>
      <w:bookmarkEnd w:id="3"/>
      <w:bookmarkEnd w:id="4"/>
      <w:r w:rsidR="006378DF" w:rsidRPr="00E040D1">
        <w:rPr>
          <w:rFonts w:asciiTheme="majorBidi" w:hAnsiTheme="majorBidi" w:cstheme="majorBidi"/>
          <w:sz w:val="24"/>
          <w:szCs w:val="24"/>
        </w:rPr>
        <w:t xml:space="preserve">In our study the age of the patients ranged from 35 - 71 years. No </w:t>
      </w:r>
      <w:bookmarkStart w:id="5" w:name="_Hlk94998738"/>
      <w:r w:rsidR="006378DF" w:rsidRPr="00E040D1">
        <w:rPr>
          <w:rFonts w:asciiTheme="majorBidi" w:hAnsiTheme="majorBidi" w:cstheme="majorBidi"/>
          <w:sz w:val="24"/>
          <w:szCs w:val="24"/>
        </w:rPr>
        <w:t xml:space="preserve">statistically significant </w:t>
      </w:r>
      <w:bookmarkStart w:id="6" w:name="_Hlk94997127"/>
      <w:bookmarkEnd w:id="5"/>
      <w:r w:rsidR="006378DF" w:rsidRPr="00E040D1">
        <w:rPr>
          <w:rFonts w:asciiTheme="majorBidi" w:hAnsiTheme="majorBidi" w:cstheme="majorBidi"/>
          <w:sz w:val="24"/>
          <w:szCs w:val="24"/>
        </w:rPr>
        <w:t xml:space="preserve">ICU length of stay </w:t>
      </w:r>
      <w:bookmarkEnd w:id="6"/>
      <w:r w:rsidR="006378DF" w:rsidRPr="00E040D1">
        <w:rPr>
          <w:rFonts w:asciiTheme="majorBidi" w:hAnsiTheme="majorBidi" w:cstheme="majorBidi"/>
          <w:sz w:val="24"/>
          <w:szCs w:val="24"/>
        </w:rPr>
        <w:t>difference observed between patient in both groups</w:t>
      </w:r>
      <w:r w:rsidR="00F24679" w:rsidRPr="00E040D1">
        <w:rPr>
          <w:rFonts w:asciiTheme="majorBidi" w:hAnsiTheme="majorBidi" w:cstheme="majorBidi"/>
          <w:sz w:val="24"/>
          <w:szCs w:val="24"/>
        </w:rPr>
        <w:t>.</w:t>
      </w:r>
      <w:r w:rsidR="00E237FE" w:rsidRPr="00E040D1">
        <w:rPr>
          <w:rFonts w:asciiTheme="majorBidi" w:hAnsiTheme="majorBidi" w:cstheme="majorBidi"/>
          <w:b/>
          <w:bCs/>
          <w:sz w:val="24"/>
          <w:szCs w:val="24"/>
        </w:rPr>
        <w:t xml:space="preserve"> </w:t>
      </w:r>
      <w:r w:rsidR="006378DF" w:rsidRPr="00E040D1">
        <w:rPr>
          <w:rFonts w:asciiTheme="majorBidi" w:hAnsiTheme="majorBidi" w:cstheme="majorBidi"/>
          <w:sz w:val="24"/>
          <w:szCs w:val="24"/>
        </w:rPr>
        <w:t>In our study the mean ICU length of stay in critically ill patients who received Dexamethasone was 12.5±4.286 versus 14.68±7.851 in critically ill patients who received</w:t>
      </w:r>
      <w:bookmarkStart w:id="7" w:name="_Hlk94997785"/>
      <w:r w:rsidR="006378DF" w:rsidRPr="00E040D1">
        <w:rPr>
          <w:rFonts w:asciiTheme="majorBidi" w:hAnsiTheme="majorBidi" w:cstheme="majorBidi"/>
          <w:sz w:val="24"/>
          <w:szCs w:val="24"/>
        </w:rPr>
        <w:t xml:space="preserve"> </w:t>
      </w:r>
      <w:r w:rsidR="00E237FE" w:rsidRPr="00E040D1">
        <w:rPr>
          <w:rFonts w:asciiTheme="majorBidi" w:hAnsiTheme="majorBidi" w:cstheme="majorBidi"/>
          <w:sz w:val="24"/>
          <w:szCs w:val="24"/>
        </w:rPr>
        <w:t xml:space="preserve">Methylprednisolone while other found that both groups had similar primary and secondary outcomes and similar ICU length of stay </w:t>
      </w:r>
      <w:r w:rsidR="00E237FE" w:rsidRPr="00E040D1">
        <w:rPr>
          <w:rFonts w:asciiTheme="majorBidi" w:hAnsiTheme="majorBidi" w:cstheme="majorBidi"/>
          <w:b/>
          <w:bCs/>
          <w:sz w:val="24"/>
          <w:szCs w:val="24"/>
        </w:rPr>
        <w:t>(</w:t>
      </w:r>
      <w:r w:rsidR="000D4244" w:rsidRPr="00E040D1">
        <w:rPr>
          <w:rFonts w:asciiTheme="majorBidi" w:hAnsiTheme="majorBidi" w:cstheme="majorBidi"/>
          <w:b/>
          <w:bCs/>
          <w:sz w:val="24"/>
          <w:szCs w:val="24"/>
        </w:rPr>
        <w:t>45</w:t>
      </w:r>
      <w:r w:rsidR="00E237FE" w:rsidRPr="00E040D1">
        <w:rPr>
          <w:rFonts w:asciiTheme="majorBidi" w:hAnsiTheme="majorBidi" w:cstheme="majorBidi"/>
          <w:b/>
          <w:bCs/>
          <w:sz w:val="24"/>
          <w:szCs w:val="24"/>
        </w:rPr>
        <w:t>).</w:t>
      </w:r>
      <w:bookmarkEnd w:id="7"/>
      <w:r w:rsidR="00E237FE" w:rsidRPr="00E040D1">
        <w:rPr>
          <w:rFonts w:asciiTheme="majorBidi" w:hAnsiTheme="majorBidi" w:cstheme="majorBidi"/>
          <w:b/>
          <w:bCs/>
          <w:sz w:val="24"/>
          <w:szCs w:val="24"/>
        </w:rPr>
        <w:t xml:space="preserve"> </w:t>
      </w:r>
      <w:r w:rsidR="006378DF" w:rsidRPr="00E040D1">
        <w:rPr>
          <w:rFonts w:asciiTheme="majorBidi" w:hAnsiTheme="majorBidi" w:cstheme="majorBidi"/>
          <w:sz w:val="24"/>
          <w:szCs w:val="24"/>
        </w:rPr>
        <w:t>A study in Wuhan Chin</w:t>
      </w:r>
      <w:r w:rsidR="006378DF" w:rsidRPr="00E040D1">
        <w:rPr>
          <w:rFonts w:asciiTheme="majorBidi" w:hAnsiTheme="majorBidi" w:cstheme="majorBidi"/>
          <w:b/>
          <w:bCs/>
          <w:sz w:val="24"/>
          <w:szCs w:val="24"/>
        </w:rPr>
        <w:t>a</w:t>
      </w:r>
      <w:r w:rsidR="006378DF" w:rsidRPr="00E040D1">
        <w:rPr>
          <w:rFonts w:asciiTheme="majorBidi" w:hAnsiTheme="majorBidi" w:cstheme="majorBidi"/>
          <w:sz w:val="24"/>
          <w:szCs w:val="24"/>
        </w:rPr>
        <w:t xml:space="preserve">, </w:t>
      </w:r>
      <w:r w:rsidR="00E237FE" w:rsidRPr="00E040D1">
        <w:rPr>
          <w:rFonts w:asciiTheme="majorBidi" w:hAnsiTheme="majorBidi" w:cstheme="majorBidi"/>
          <w:sz w:val="24"/>
          <w:szCs w:val="24"/>
        </w:rPr>
        <w:t>had showed that</w:t>
      </w:r>
      <w:r w:rsidR="006378DF" w:rsidRPr="00E040D1">
        <w:rPr>
          <w:rFonts w:asciiTheme="majorBidi" w:hAnsiTheme="majorBidi" w:cstheme="majorBidi"/>
          <w:sz w:val="24"/>
          <w:szCs w:val="24"/>
        </w:rPr>
        <w:t xml:space="preserve"> There was significant reduction in morbidity and mortality with methylprednisolone with shorter length of </w:t>
      </w:r>
      <w:r w:rsidR="006378DF" w:rsidRPr="00E040D1">
        <w:rPr>
          <w:rFonts w:asciiTheme="majorBidi" w:hAnsiTheme="majorBidi" w:cstheme="majorBidi"/>
          <w:sz w:val="24"/>
          <w:szCs w:val="24"/>
        </w:rPr>
        <w:lastRenderedPageBreak/>
        <w:t>ICU stay</w:t>
      </w:r>
      <w:r w:rsidR="00E237FE" w:rsidRPr="00E040D1">
        <w:rPr>
          <w:rFonts w:asciiTheme="majorBidi" w:hAnsiTheme="majorBidi" w:cstheme="majorBidi"/>
          <w:sz w:val="24"/>
          <w:szCs w:val="24"/>
        </w:rPr>
        <w:t xml:space="preserve"> </w:t>
      </w:r>
      <w:r w:rsidR="00E237FE" w:rsidRPr="00E040D1">
        <w:rPr>
          <w:rFonts w:asciiTheme="majorBidi" w:hAnsiTheme="majorBidi" w:cstheme="majorBidi"/>
          <w:b/>
          <w:bCs/>
          <w:sz w:val="24"/>
          <w:szCs w:val="24"/>
        </w:rPr>
        <w:t>(</w:t>
      </w:r>
      <w:r w:rsidR="000D4244" w:rsidRPr="00E040D1">
        <w:rPr>
          <w:rFonts w:asciiTheme="majorBidi" w:hAnsiTheme="majorBidi" w:cstheme="majorBidi"/>
          <w:b/>
          <w:bCs/>
          <w:sz w:val="24"/>
          <w:szCs w:val="24"/>
        </w:rPr>
        <w:t>46</w:t>
      </w:r>
      <w:r w:rsidR="00E237FE" w:rsidRPr="00E040D1">
        <w:rPr>
          <w:rFonts w:asciiTheme="majorBidi" w:hAnsiTheme="majorBidi" w:cstheme="majorBidi"/>
          <w:b/>
          <w:bCs/>
          <w:sz w:val="24"/>
          <w:szCs w:val="24"/>
        </w:rPr>
        <w:t>).</w:t>
      </w:r>
      <w:r w:rsidR="006378DF" w:rsidRPr="00E040D1">
        <w:rPr>
          <w:rFonts w:asciiTheme="majorBidi" w:hAnsiTheme="majorBidi" w:cstheme="majorBidi"/>
          <w:sz w:val="24"/>
          <w:szCs w:val="24"/>
        </w:rPr>
        <w:t xml:space="preserve"> A study </w:t>
      </w:r>
      <w:r w:rsidR="00E237FE" w:rsidRPr="00E040D1">
        <w:rPr>
          <w:rFonts w:asciiTheme="majorBidi" w:hAnsiTheme="majorBidi" w:cstheme="majorBidi"/>
          <w:sz w:val="24"/>
          <w:szCs w:val="24"/>
        </w:rPr>
        <w:t>in Michigan,</w:t>
      </w:r>
      <w:r w:rsidR="006378DF" w:rsidRPr="00E040D1">
        <w:rPr>
          <w:rFonts w:asciiTheme="majorBidi" w:hAnsiTheme="majorBidi" w:cstheme="majorBidi"/>
          <w:sz w:val="24"/>
          <w:szCs w:val="24"/>
        </w:rPr>
        <w:t xml:space="preserve"> observed significant improvement in outcome and shorter length of stay in hospital in the</w:t>
      </w:r>
      <w:bookmarkStart w:id="8" w:name="_Hlk95167289"/>
      <w:r w:rsidR="006378DF" w:rsidRPr="00E040D1">
        <w:rPr>
          <w:rFonts w:asciiTheme="majorBidi" w:hAnsiTheme="majorBidi" w:cstheme="majorBidi"/>
          <w:sz w:val="24"/>
          <w:szCs w:val="24"/>
        </w:rPr>
        <w:t xml:space="preserve"> methylprednisolone </w:t>
      </w:r>
      <w:bookmarkEnd w:id="8"/>
      <w:r w:rsidR="006378DF" w:rsidRPr="00E040D1">
        <w:rPr>
          <w:rFonts w:asciiTheme="majorBidi" w:hAnsiTheme="majorBidi" w:cstheme="majorBidi"/>
          <w:sz w:val="24"/>
          <w:szCs w:val="24"/>
        </w:rPr>
        <w:t>group</w:t>
      </w:r>
      <w:r w:rsidR="00017D98" w:rsidRPr="00E040D1">
        <w:rPr>
          <w:rFonts w:asciiTheme="majorBidi" w:hAnsiTheme="majorBidi" w:cstheme="majorBidi"/>
          <w:sz w:val="24"/>
          <w:szCs w:val="24"/>
        </w:rPr>
        <w:t xml:space="preserve"> </w:t>
      </w:r>
      <w:r w:rsidR="00017D98" w:rsidRPr="00E040D1">
        <w:rPr>
          <w:rFonts w:asciiTheme="majorBidi" w:hAnsiTheme="majorBidi" w:cstheme="majorBidi"/>
          <w:b/>
          <w:bCs/>
          <w:sz w:val="24"/>
          <w:szCs w:val="24"/>
        </w:rPr>
        <w:t>(</w:t>
      </w:r>
      <w:r w:rsidR="000D4244" w:rsidRPr="00E040D1">
        <w:rPr>
          <w:rFonts w:asciiTheme="majorBidi" w:hAnsiTheme="majorBidi" w:cstheme="majorBidi"/>
          <w:b/>
          <w:bCs/>
          <w:sz w:val="24"/>
          <w:szCs w:val="24"/>
        </w:rPr>
        <w:t>47</w:t>
      </w:r>
      <w:r w:rsidR="00017D98" w:rsidRPr="00E040D1">
        <w:rPr>
          <w:rFonts w:asciiTheme="majorBidi" w:hAnsiTheme="majorBidi" w:cstheme="majorBidi"/>
          <w:b/>
          <w:bCs/>
          <w:sz w:val="24"/>
          <w:szCs w:val="24"/>
        </w:rPr>
        <w:t>).</w:t>
      </w:r>
      <w:r w:rsidR="00017D98" w:rsidRPr="00E040D1">
        <w:rPr>
          <w:rFonts w:asciiTheme="majorBidi" w:hAnsiTheme="majorBidi" w:cstheme="majorBidi"/>
          <w:sz w:val="24"/>
          <w:szCs w:val="24"/>
        </w:rPr>
        <w:t xml:space="preserve"> </w:t>
      </w:r>
      <w:r w:rsidR="00E87550" w:rsidRPr="00E040D1">
        <w:rPr>
          <w:rFonts w:asciiTheme="majorBidi" w:hAnsiTheme="majorBidi" w:cstheme="majorBidi"/>
          <w:sz w:val="24"/>
          <w:szCs w:val="24"/>
        </w:rPr>
        <w:t>T</w:t>
      </w:r>
      <w:r w:rsidR="00017D98" w:rsidRPr="00E040D1">
        <w:rPr>
          <w:rFonts w:asciiTheme="majorBidi" w:hAnsiTheme="majorBidi" w:cstheme="majorBidi"/>
          <w:sz w:val="24"/>
          <w:szCs w:val="24"/>
        </w:rPr>
        <w:t>his is</w:t>
      </w:r>
      <w:r w:rsidR="006378DF" w:rsidRPr="00E040D1">
        <w:rPr>
          <w:rFonts w:asciiTheme="majorBidi" w:hAnsiTheme="majorBidi" w:cstheme="majorBidi"/>
          <w:sz w:val="24"/>
          <w:szCs w:val="24"/>
        </w:rPr>
        <w:t xml:space="preserve"> agreed with our study and detect the effect of methylprednisolone in decreasing the period in which critically ill patient stayed in ICU</w:t>
      </w:r>
      <w:bookmarkStart w:id="9" w:name="_Hlk94999155"/>
      <w:r w:rsidR="006378DF" w:rsidRPr="00E040D1">
        <w:rPr>
          <w:rFonts w:asciiTheme="majorBidi" w:hAnsiTheme="majorBidi" w:cstheme="majorBidi"/>
          <w:sz w:val="24"/>
          <w:szCs w:val="24"/>
        </w:rPr>
        <w:t>.</w:t>
      </w:r>
      <w:r w:rsidR="00E237FE" w:rsidRPr="00E040D1">
        <w:rPr>
          <w:rFonts w:asciiTheme="majorBidi" w:hAnsiTheme="majorBidi" w:cstheme="majorBidi"/>
          <w:sz w:val="24"/>
          <w:szCs w:val="24"/>
        </w:rPr>
        <w:t xml:space="preserve"> </w:t>
      </w:r>
      <w:bookmarkEnd w:id="9"/>
      <w:r w:rsidR="001129A5" w:rsidRPr="00E040D1">
        <w:rPr>
          <w:rFonts w:asciiTheme="majorBidi" w:hAnsiTheme="majorBidi" w:cstheme="majorBidi"/>
          <w:sz w:val="24"/>
          <w:szCs w:val="24"/>
        </w:rPr>
        <w:t>Also,</w:t>
      </w:r>
      <w:r w:rsidR="00017D98" w:rsidRPr="00E040D1">
        <w:rPr>
          <w:rFonts w:asciiTheme="majorBidi" w:hAnsiTheme="majorBidi" w:cstheme="majorBidi"/>
          <w:sz w:val="24"/>
          <w:szCs w:val="24"/>
        </w:rPr>
        <w:t xml:space="preserve"> another study had showed that both groups had similar primary and secondary outcomes and similar ICU length of stay </w:t>
      </w:r>
      <w:r w:rsidR="00017D98" w:rsidRPr="00E040D1">
        <w:rPr>
          <w:rFonts w:asciiTheme="majorBidi" w:hAnsiTheme="majorBidi" w:cstheme="majorBidi"/>
          <w:b/>
          <w:bCs/>
          <w:sz w:val="24"/>
          <w:szCs w:val="24"/>
        </w:rPr>
        <w:t>(</w:t>
      </w:r>
      <w:r w:rsidR="000D4244" w:rsidRPr="00E040D1">
        <w:rPr>
          <w:rFonts w:asciiTheme="majorBidi" w:hAnsiTheme="majorBidi" w:cstheme="majorBidi"/>
          <w:b/>
          <w:bCs/>
          <w:sz w:val="24"/>
          <w:szCs w:val="24"/>
        </w:rPr>
        <w:t>4</w:t>
      </w:r>
      <w:r w:rsidR="00B73027" w:rsidRPr="00E040D1">
        <w:rPr>
          <w:rFonts w:asciiTheme="majorBidi" w:hAnsiTheme="majorBidi" w:cstheme="majorBidi"/>
          <w:b/>
          <w:bCs/>
          <w:sz w:val="24"/>
          <w:szCs w:val="24"/>
        </w:rPr>
        <w:t>1</w:t>
      </w:r>
      <w:r w:rsidR="0082689E" w:rsidRPr="00E040D1">
        <w:rPr>
          <w:rFonts w:asciiTheme="majorBidi" w:hAnsiTheme="majorBidi" w:cstheme="majorBidi"/>
          <w:b/>
          <w:bCs/>
          <w:sz w:val="24"/>
          <w:szCs w:val="24"/>
        </w:rPr>
        <w:t>).</w:t>
      </w:r>
      <w:r w:rsidR="0082689E" w:rsidRPr="00E040D1">
        <w:rPr>
          <w:rFonts w:asciiTheme="majorBidi" w:hAnsiTheme="majorBidi" w:cstheme="majorBidi"/>
          <w:sz w:val="24"/>
          <w:szCs w:val="24"/>
        </w:rPr>
        <w:t xml:space="preserve"> while others found that treatment with methylprednisolone led to significantly greater </w:t>
      </w:r>
      <w:r w:rsidR="00017D98" w:rsidRPr="00E040D1">
        <w:rPr>
          <w:rFonts w:asciiTheme="majorBidi" w:hAnsiTheme="majorBidi" w:cstheme="majorBidi"/>
          <w:sz w:val="24"/>
          <w:szCs w:val="24"/>
        </w:rPr>
        <w:t>improvements in clinical status and shortened hospital length of stay than</w:t>
      </w:r>
      <w:r w:rsidR="0082689E" w:rsidRPr="00E040D1">
        <w:rPr>
          <w:rFonts w:asciiTheme="majorBidi" w:hAnsiTheme="majorBidi" w:cstheme="majorBidi"/>
          <w:sz w:val="24"/>
          <w:szCs w:val="24"/>
        </w:rPr>
        <w:t xml:space="preserve"> </w:t>
      </w:r>
      <w:r w:rsidR="00017D98" w:rsidRPr="00E040D1">
        <w:rPr>
          <w:rFonts w:asciiTheme="majorBidi" w:hAnsiTheme="majorBidi" w:cstheme="majorBidi"/>
          <w:sz w:val="24"/>
          <w:szCs w:val="24"/>
        </w:rPr>
        <w:t>treatment with dexamethasone in hospitalized COVID-19 patients with</w:t>
      </w:r>
      <w:r w:rsidR="0082689E" w:rsidRPr="00E040D1">
        <w:rPr>
          <w:rFonts w:asciiTheme="majorBidi" w:hAnsiTheme="majorBidi" w:cstheme="majorBidi"/>
          <w:sz w:val="24"/>
          <w:szCs w:val="24"/>
        </w:rPr>
        <w:t xml:space="preserve"> H</w:t>
      </w:r>
      <w:r w:rsidR="00017D98" w:rsidRPr="00E040D1">
        <w:rPr>
          <w:rFonts w:asciiTheme="majorBidi" w:hAnsiTheme="majorBidi" w:cstheme="majorBidi"/>
          <w:sz w:val="24"/>
          <w:szCs w:val="24"/>
        </w:rPr>
        <w:t>ypoxia</w:t>
      </w:r>
      <w:r w:rsidR="0082689E" w:rsidRPr="00E040D1">
        <w:rPr>
          <w:rFonts w:asciiTheme="majorBidi" w:hAnsiTheme="majorBidi" w:cstheme="majorBidi"/>
          <w:sz w:val="24"/>
          <w:szCs w:val="24"/>
        </w:rPr>
        <w:t xml:space="preserve"> </w:t>
      </w:r>
      <w:r w:rsidR="0082689E" w:rsidRPr="00E040D1">
        <w:rPr>
          <w:rFonts w:asciiTheme="majorBidi" w:hAnsiTheme="majorBidi" w:cstheme="majorBidi"/>
          <w:b/>
          <w:bCs/>
          <w:sz w:val="24"/>
          <w:szCs w:val="24"/>
        </w:rPr>
        <w:t>(</w:t>
      </w:r>
      <w:r w:rsidR="000D4244" w:rsidRPr="00E040D1">
        <w:rPr>
          <w:rFonts w:asciiTheme="majorBidi" w:hAnsiTheme="majorBidi" w:cstheme="majorBidi"/>
          <w:b/>
          <w:bCs/>
          <w:sz w:val="24"/>
          <w:szCs w:val="24"/>
        </w:rPr>
        <w:t>4</w:t>
      </w:r>
      <w:r w:rsidR="00B73027" w:rsidRPr="00E040D1">
        <w:rPr>
          <w:rFonts w:asciiTheme="majorBidi" w:hAnsiTheme="majorBidi" w:cstheme="majorBidi"/>
          <w:b/>
          <w:bCs/>
          <w:sz w:val="24"/>
          <w:szCs w:val="24"/>
        </w:rPr>
        <w:t>0</w:t>
      </w:r>
      <w:r w:rsidR="0082689E" w:rsidRPr="00E040D1">
        <w:rPr>
          <w:rFonts w:asciiTheme="majorBidi" w:hAnsiTheme="majorBidi" w:cstheme="majorBidi"/>
          <w:b/>
          <w:bCs/>
          <w:sz w:val="24"/>
          <w:szCs w:val="24"/>
        </w:rPr>
        <w:t>).</w:t>
      </w:r>
      <w:r w:rsidR="0082689E" w:rsidRPr="00E040D1">
        <w:rPr>
          <w:rFonts w:asciiTheme="majorBidi" w:hAnsiTheme="majorBidi" w:cstheme="majorBidi"/>
          <w:sz w:val="24"/>
          <w:szCs w:val="24"/>
        </w:rPr>
        <w:t xml:space="preserve"> </w:t>
      </w:r>
      <w:r w:rsidR="00017D98" w:rsidRPr="00E040D1">
        <w:rPr>
          <w:rFonts w:asciiTheme="majorBidi" w:hAnsiTheme="majorBidi" w:cstheme="majorBidi"/>
          <w:sz w:val="24"/>
          <w:szCs w:val="24"/>
        </w:rPr>
        <w:t>As regard</w:t>
      </w:r>
      <w:r w:rsidR="0082689E" w:rsidRPr="00E040D1">
        <w:rPr>
          <w:rFonts w:asciiTheme="majorBidi" w:hAnsiTheme="majorBidi" w:cstheme="majorBidi"/>
          <w:sz w:val="24"/>
          <w:szCs w:val="24"/>
        </w:rPr>
        <w:t>ing</w:t>
      </w:r>
      <w:r w:rsidR="00017D98" w:rsidRPr="00E040D1">
        <w:rPr>
          <w:rFonts w:asciiTheme="majorBidi" w:hAnsiTheme="majorBidi" w:cstheme="majorBidi"/>
          <w:sz w:val="24"/>
          <w:szCs w:val="24"/>
        </w:rPr>
        <w:t xml:space="preserve"> </w:t>
      </w:r>
      <w:r w:rsidR="0082689E" w:rsidRPr="00E040D1">
        <w:rPr>
          <w:rFonts w:asciiTheme="majorBidi" w:hAnsiTheme="majorBidi" w:cstheme="majorBidi"/>
          <w:sz w:val="24"/>
          <w:szCs w:val="24"/>
        </w:rPr>
        <w:t>the</w:t>
      </w:r>
      <w:r w:rsidR="00017D98" w:rsidRPr="00E040D1">
        <w:rPr>
          <w:rFonts w:asciiTheme="majorBidi" w:hAnsiTheme="majorBidi" w:cstheme="majorBidi"/>
          <w:sz w:val="24"/>
          <w:szCs w:val="24"/>
        </w:rPr>
        <w:t xml:space="preserve"> laboratory investigation in our </w:t>
      </w:r>
      <w:bookmarkStart w:id="10" w:name="_Hlk95168619"/>
      <w:r w:rsidR="00017D98" w:rsidRPr="00E040D1">
        <w:rPr>
          <w:rFonts w:asciiTheme="majorBidi" w:hAnsiTheme="majorBidi" w:cstheme="majorBidi"/>
          <w:sz w:val="24"/>
          <w:szCs w:val="24"/>
        </w:rPr>
        <w:t xml:space="preserve">study there was statistically  significant </w:t>
      </w:r>
      <w:r w:rsidR="0082689E" w:rsidRPr="00E040D1">
        <w:rPr>
          <w:rFonts w:asciiTheme="majorBidi" w:hAnsiTheme="majorBidi" w:cstheme="majorBidi"/>
          <w:sz w:val="24"/>
          <w:szCs w:val="24"/>
        </w:rPr>
        <w:t xml:space="preserve">  improvement </w:t>
      </w:r>
      <w:r w:rsidR="00017D98" w:rsidRPr="00E040D1">
        <w:rPr>
          <w:rFonts w:asciiTheme="majorBidi" w:hAnsiTheme="majorBidi" w:cstheme="majorBidi"/>
          <w:sz w:val="24"/>
          <w:szCs w:val="24"/>
        </w:rPr>
        <w:t xml:space="preserve">of serum </w:t>
      </w:r>
      <w:bookmarkStart w:id="11" w:name="_Hlk94999087"/>
      <w:r w:rsidR="001129A5" w:rsidRPr="00E040D1">
        <w:rPr>
          <w:rFonts w:asciiTheme="majorBidi" w:hAnsiTheme="majorBidi" w:cstheme="majorBidi"/>
          <w:sz w:val="24"/>
          <w:szCs w:val="24"/>
        </w:rPr>
        <w:t>ferritin</w:t>
      </w:r>
      <w:r w:rsidR="00017D98" w:rsidRPr="00E040D1">
        <w:rPr>
          <w:rFonts w:asciiTheme="majorBidi" w:hAnsiTheme="majorBidi" w:cstheme="majorBidi"/>
          <w:sz w:val="24"/>
          <w:szCs w:val="24"/>
        </w:rPr>
        <w:t xml:space="preserve"> level after 10 days of ICU admission</w:t>
      </w:r>
      <w:bookmarkEnd w:id="10"/>
      <w:bookmarkEnd w:id="11"/>
      <w:r w:rsidR="0082689E" w:rsidRPr="00E040D1">
        <w:rPr>
          <w:rFonts w:asciiTheme="majorBidi" w:eastAsia="Times New Roman" w:hAnsiTheme="majorBidi" w:cstheme="majorBidi"/>
          <w:sz w:val="24"/>
          <w:szCs w:val="24"/>
        </w:rPr>
        <w:t xml:space="preserve">, while in other study, </w:t>
      </w:r>
      <w:r w:rsidR="00017D98" w:rsidRPr="00E040D1">
        <w:rPr>
          <w:rFonts w:asciiTheme="majorBidi" w:hAnsiTheme="majorBidi" w:cstheme="majorBidi"/>
          <w:sz w:val="24"/>
          <w:szCs w:val="24"/>
        </w:rPr>
        <w:t xml:space="preserve">The </w:t>
      </w:r>
      <w:bookmarkStart w:id="12" w:name="_Hlk95000317"/>
      <w:r w:rsidR="00017D98" w:rsidRPr="00E040D1">
        <w:rPr>
          <w:rFonts w:asciiTheme="majorBidi" w:hAnsiTheme="majorBidi" w:cstheme="majorBidi"/>
          <w:sz w:val="24"/>
          <w:szCs w:val="24"/>
        </w:rPr>
        <w:t xml:space="preserve">Methylprednisolone </w:t>
      </w:r>
      <w:bookmarkEnd w:id="12"/>
      <w:r w:rsidR="00017D98" w:rsidRPr="00E040D1">
        <w:rPr>
          <w:rFonts w:asciiTheme="majorBidi" w:hAnsiTheme="majorBidi" w:cstheme="majorBidi"/>
          <w:sz w:val="24"/>
          <w:szCs w:val="24"/>
        </w:rPr>
        <w:t xml:space="preserve">group showed more improvement in serum </w:t>
      </w:r>
      <w:r w:rsidR="001129A5" w:rsidRPr="00E040D1">
        <w:rPr>
          <w:rFonts w:asciiTheme="majorBidi" w:hAnsiTheme="majorBidi" w:cstheme="majorBidi"/>
          <w:sz w:val="24"/>
          <w:szCs w:val="24"/>
        </w:rPr>
        <w:t>ferritin</w:t>
      </w:r>
      <w:r w:rsidR="00017D98" w:rsidRPr="00E040D1">
        <w:rPr>
          <w:rFonts w:asciiTheme="majorBidi" w:hAnsiTheme="majorBidi" w:cstheme="majorBidi"/>
          <w:sz w:val="24"/>
          <w:szCs w:val="24"/>
        </w:rPr>
        <w:t xml:space="preserve"> level after 10 days of ICU admission rather than </w:t>
      </w:r>
      <w:bookmarkStart w:id="13" w:name="_Hlk95000259"/>
      <w:r w:rsidR="00017D98" w:rsidRPr="00E040D1">
        <w:rPr>
          <w:rFonts w:asciiTheme="majorBidi" w:hAnsiTheme="majorBidi" w:cstheme="majorBidi"/>
          <w:sz w:val="24"/>
          <w:szCs w:val="24"/>
        </w:rPr>
        <w:t xml:space="preserve">Dexamethasone </w:t>
      </w:r>
      <w:bookmarkEnd w:id="13"/>
      <w:r w:rsidR="00017D98" w:rsidRPr="00E040D1">
        <w:rPr>
          <w:rFonts w:asciiTheme="majorBidi" w:hAnsiTheme="majorBidi" w:cstheme="majorBidi"/>
          <w:sz w:val="24"/>
          <w:szCs w:val="24"/>
        </w:rPr>
        <w:t>group (</w:t>
      </w:r>
      <w:r w:rsidR="00FD0DED" w:rsidRPr="00E040D1">
        <w:rPr>
          <w:rFonts w:asciiTheme="majorBidi" w:hAnsiTheme="majorBidi" w:cstheme="majorBidi"/>
          <w:b/>
          <w:bCs/>
          <w:sz w:val="24"/>
          <w:szCs w:val="24"/>
        </w:rPr>
        <w:t>48</w:t>
      </w:r>
      <w:r w:rsidR="00017D98" w:rsidRPr="00E040D1">
        <w:rPr>
          <w:rFonts w:asciiTheme="majorBidi" w:hAnsiTheme="majorBidi" w:cstheme="majorBidi"/>
          <w:b/>
          <w:bCs/>
          <w:sz w:val="24"/>
          <w:szCs w:val="24"/>
          <w:shd w:val="clear" w:color="auto" w:fill="FFFFFF"/>
        </w:rPr>
        <w:t>).</w:t>
      </w:r>
      <w:r w:rsidR="00E00847" w:rsidRPr="00E040D1">
        <w:rPr>
          <w:rFonts w:asciiTheme="majorBidi" w:hAnsiTheme="majorBidi" w:cstheme="majorBidi"/>
          <w:sz w:val="24"/>
          <w:szCs w:val="24"/>
          <w:shd w:val="clear" w:color="auto" w:fill="FFFFFF"/>
        </w:rPr>
        <w:t xml:space="preserve"> </w:t>
      </w:r>
      <w:r w:rsidR="0030369A" w:rsidRPr="00E040D1">
        <w:rPr>
          <w:rFonts w:asciiTheme="majorBidi" w:hAnsiTheme="majorBidi" w:cstheme="majorBidi"/>
          <w:sz w:val="24"/>
          <w:szCs w:val="24"/>
          <w:shd w:val="clear" w:color="auto" w:fill="FFFFFF"/>
        </w:rPr>
        <w:t>In addition</w:t>
      </w:r>
      <w:r w:rsidR="00E00847" w:rsidRPr="00E040D1">
        <w:rPr>
          <w:rFonts w:asciiTheme="majorBidi" w:hAnsiTheme="majorBidi" w:cstheme="majorBidi"/>
          <w:sz w:val="24"/>
          <w:szCs w:val="24"/>
          <w:shd w:val="clear" w:color="auto" w:fill="FFFFFF"/>
        </w:rPr>
        <w:t>,</w:t>
      </w:r>
      <w:r w:rsidR="00E00847" w:rsidRPr="00E040D1">
        <w:rPr>
          <w:rFonts w:asciiTheme="majorBidi" w:hAnsiTheme="majorBidi" w:cstheme="majorBidi"/>
          <w:sz w:val="24"/>
          <w:szCs w:val="24"/>
        </w:rPr>
        <w:t xml:space="preserve"> in a</w:t>
      </w:r>
      <w:r w:rsidR="0030369A" w:rsidRPr="00E040D1">
        <w:rPr>
          <w:rFonts w:asciiTheme="majorBidi" w:hAnsiTheme="majorBidi" w:cstheme="majorBidi"/>
          <w:sz w:val="24"/>
          <w:szCs w:val="24"/>
        </w:rPr>
        <w:t xml:space="preserve">nother </w:t>
      </w:r>
      <w:r w:rsidR="00E00847" w:rsidRPr="00E040D1">
        <w:rPr>
          <w:rFonts w:asciiTheme="majorBidi" w:hAnsiTheme="majorBidi" w:cstheme="majorBidi"/>
          <w:sz w:val="24"/>
          <w:szCs w:val="24"/>
        </w:rPr>
        <w:t>trial</w:t>
      </w:r>
      <w:r w:rsidR="0030369A" w:rsidRPr="00E040D1">
        <w:rPr>
          <w:rFonts w:asciiTheme="majorBidi" w:hAnsiTheme="majorBidi" w:cstheme="majorBidi"/>
          <w:sz w:val="24"/>
          <w:szCs w:val="24"/>
        </w:rPr>
        <w:t>,</w:t>
      </w:r>
      <w:r w:rsidR="00E00847" w:rsidRPr="00E040D1">
        <w:rPr>
          <w:rFonts w:asciiTheme="majorBidi" w:hAnsiTheme="majorBidi" w:cstheme="majorBidi"/>
          <w:sz w:val="24"/>
          <w:szCs w:val="24"/>
        </w:rPr>
        <w:t xml:space="preserve"> there was no statistically significant difference in serum </w:t>
      </w:r>
      <w:r w:rsidR="001129A5" w:rsidRPr="00E040D1">
        <w:rPr>
          <w:rFonts w:asciiTheme="majorBidi" w:hAnsiTheme="majorBidi" w:cstheme="majorBidi"/>
          <w:sz w:val="24"/>
          <w:szCs w:val="24"/>
        </w:rPr>
        <w:t>ferritin</w:t>
      </w:r>
      <w:r w:rsidR="00E00847" w:rsidRPr="00E040D1">
        <w:rPr>
          <w:rFonts w:asciiTheme="majorBidi" w:hAnsiTheme="majorBidi" w:cstheme="majorBidi"/>
          <w:sz w:val="24"/>
          <w:szCs w:val="24"/>
        </w:rPr>
        <w:t xml:space="preserve"> level between two groups which unlike our study </w:t>
      </w:r>
      <w:r w:rsidR="00E00847" w:rsidRPr="00E040D1">
        <w:rPr>
          <w:rFonts w:asciiTheme="majorBidi" w:hAnsiTheme="majorBidi" w:cstheme="majorBidi"/>
          <w:b/>
          <w:bCs/>
          <w:sz w:val="24"/>
          <w:szCs w:val="24"/>
        </w:rPr>
        <w:t>(</w:t>
      </w:r>
      <w:r w:rsidR="00FD0DED" w:rsidRPr="00E040D1">
        <w:rPr>
          <w:rFonts w:asciiTheme="majorBidi" w:hAnsiTheme="majorBidi" w:cstheme="majorBidi"/>
          <w:b/>
          <w:bCs/>
          <w:sz w:val="24"/>
          <w:szCs w:val="24"/>
        </w:rPr>
        <w:t>49</w:t>
      </w:r>
      <w:r w:rsidR="001129A5" w:rsidRPr="00E040D1">
        <w:rPr>
          <w:rFonts w:asciiTheme="majorBidi" w:hAnsiTheme="majorBidi" w:cstheme="majorBidi"/>
          <w:b/>
          <w:bCs/>
          <w:sz w:val="24"/>
          <w:szCs w:val="24"/>
        </w:rPr>
        <w:t>)</w:t>
      </w:r>
      <w:r w:rsidR="001263A0" w:rsidRPr="00E040D1">
        <w:rPr>
          <w:rFonts w:asciiTheme="majorBidi" w:hAnsiTheme="majorBidi" w:cstheme="majorBidi"/>
          <w:b/>
          <w:bCs/>
          <w:sz w:val="24"/>
          <w:szCs w:val="24"/>
        </w:rPr>
        <w:t>;(</w:t>
      </w:r>
      <w:r w:rsidR="000D4244" w:rsidRPr="00E040D1">
        <w:rPr>
          <w:rFonts w:asciiTheme="majorBidi" w:hAnsiTheme="majorBidi" w:cstheme="majorBidi"/>
          <w:b/>
          <w:bCs/>
          <w:sz w:val="24"/>
          <w:szCs w:val="24"/>
        </w:rPr>
        <w:t>5</w:t>
      </w:r>
      <w:r w:rsidR="00FD0DED" w:rsidRPr="00E040D1">
        <w:rPr>
          <w:rFonts w:asciiTheme="majorBidi" w:hAnsiTheme="majorBidi" w:cstheme="majorBidi"/>
          <w:b/>
          <w:bCs/>
          <w:sz w:val="24"/>
          <w:szCs w:val="24"/>
        </w:rPr>
        <w:t>0</w:t>
      </w:r>
      <w:r w:rsidR="001263A0" w:rsidRPr="00E040D1">
        <w:rPr>
          <w:rFonts w:asciiTheme="majorBidi" w:hAnsiTheme="majorBidi" w:cstheme="majorBidi"/>
          <w:b/>
          <w:bCs/>
          <w:sz w:val="24"/>
          <w:szCs w:val="24"/>
        </w:rPr>
        <w:t>)</w:t>
      </w:r>
      <w:r w:rsidR="0030369A" w:rsidRPr="00E040D1">
        <w:rPr>
          <w:rFonts w:asciiTheme="majorBidi" w:hAnsiTheme="majorBidi" w:cstheme="majorBidi"/>
          <w:b/>
          <w:bCs/>
          <w:sz w:val="24"/>
          <w:szCs w:val="24"/>
        </w:rPr>
        <w:t>.</w:t>
      </w:r>
      <w:r w:rsidR="001263A0" w:rsidRPr="00E040D1">
        <w:rPr>
          <w:rFonts w:asciiTheme="majorBidi" w:hAnsiTheme="majorBidi" w:cstheme="majorBidi"/>
          <w:sz w:val="24"/>
          <w:szCs w:val="24"/>
        </w:rPr>
        <w:t xml:space="preserve"> </w:t>
      </w:r>
      <w:r w:rsidR="00E00847" w:rsidRPr="00E040D1">
        <w:rPr>
          <w:rFonts w:asciiTheme="majorBidi" w:hAnsiTheme="majorBidi" w:cstheme="majorBidi"/>
          <w:sz w:val="24"/>
          <w:szCs w:val="24"/>
        </w:rPr>
        <w:t>In our study, there</w:t>
      </w:r>
      <w:r w:rsidR="00017D98" w:rsidRPr="00E040D1">
        <w:rPr>
          <w:rFonts w:asciiTheme="majorBidi" w:hAnsiTheme="majorBidi" w:cstheme="majorBidi"/>
          <w:sz w:val="24"/>
          <w:szCs w:val="24"/>
        </w:rPr>
        <w:t xml:space="preserve"> </w:t>
      </w:r>
      <w:bookmarkStart w:id="14" w:name="_Hlk95020449"/>
      <w:r w:rsidR="001129A5" w:rsidRPr="00E040D1">
        <w:rPr>
          <w:rFonts w:asciiTheme="majorBidi" w:hAnsiTheme="majorBidi" w:cstheme="majorBidi"/>
          <w:sz w:val="24"/>
          <w:szCs w:val="24"/>
        </w:rPr>
        <w:t>was statistically</w:t>
      </w:r>
      <w:r w:rsidR="00017D98" w:rsidRPr="00E040D1">
        <w:rPr>
          <w:rFonts w:asciiTheme="majorBidi" w:hAnsiTheme="majorBidi" w:cstheme="majorBidi"/>
          <w:sz w:val="24"/>
          <w:szCs w:val="24"/>
        </w:rPr>
        <w:t xml:space="preserve"> significant difference in D-dimer observed between patients in both </w:t>
      </w:r>
      <w:bookmarkEnd w:id="14"/>
      <w:r w:rsidR="001129A5" w:rsidRPr="00E040D1">
        <w:rPr>
          <w:rFonts w:asciiTheme="majorBidi" w:hAnsiTheme="majorBidi" w:cstheme="majorBidi"/>
          <w:sz w:val="24"/>
          <w:szCs w:val="24"/>
        </w:rPr>
        <w:t>groups on</w:t>
      </w:r>
      <w:r w:rsidR="00017D98" w:rsidRPr="00E040D1">
        <w:rPr>
          <w:rFonts w:asciiTheme="majorBidi" w:hAnsiTheme="majorBidi" w:cstheme="majorBidi"/>
          <w:sz w:val="24"/>
          <w:szCs w:val="24"/>
        </w:rPr>
        <w:t xml:space="preserve"> admission and after 10 days of admission</w:t>
      </w:r>
      <w:r w:rsidR="00E00847" w:rsidRPr="00E040D1">
        <w:rPr>
          <w:rFonts w:asciiTheme="majorBidi" w:hAnsiTheme="majorBidi" w:cstheme="majorBidi"/>
          <w:sz w:val="24"/>
          <w:szCs w:val="24"/>
        </w:rPr>
        <w:t xml:space="preserve"> which </w:t>
      </w:r>
      <w:r w:rsidR="001129A5" w:rsidRPr="00E040D1">
        <w:rPr>
          <w:rFonts w:asciiTheme="majorBidi" w:hAnsiTheme="majorBidi" w:cstheme="majorBidi"/>
          <w:sz w:val="24"/>
          <w:szCs w:val="24"/>
        </w:rPr>
        <w:t>disagreed</w:t>
      </w:r>
      <w:r w:rsidR="00E00847" w:rsidRPr="00E040D1">
        <w:rPr>
          <w:rFonts w:asciiTheme="majorBidi" w:hAnsiTheme="majorBidi" w:cstheme="majorBidi"/>
          <w:sz w:val="24"/>
          <w:szCs w:val="24"/>
        </w:rPr>
        <w:t xml:space="preserve"> with</w:t>
      </w:r>
      <w:bookmarkStart w:id="15" w:name="_Hlk95044328"/>
      <w:r w:rsidR="00E00847" w:rsidRPr="00E040D1">
        <w:rPr>
          <w:rFonts w:asciiTheme="majorBidi" w:hAnsiTheme="majorBidi" w:cstheme="majorBidi"/>
          <w:sz w:val="24"/>
          <w:szCs w:val="24"/>
        </w:rPr>
        <w:t xml:space="preserve"> others who found</w:t>
      </w:r>
      <w:bookmarkEnd w:id="15"/>
      <w:r w:rsidR="00017D98" w:rsidRPr="00E040D1">
        <w:rPr>
          <w:rFonts w:asciiTheme="majorBidi" w:hAnsiTheme="majorBidi" w:cstheme="majorBidi"/>
          <w:sz w:val="24"/>
          <w:szCs w:val="24"/>
        </w:rPr>
        <w:t xml:space="preserve"> that there was </w:t>
      </w:r>
      <w:bookmarkStart w:id="16" w:name="_Hlk95021198"/>
      <w:r w:rsidR="00017D98" w:rsidRPr="00E040D1">
        <w:rPr>
          <w:rFonts w:asciiTheme="majorBidi" w:hAnsiTheme="majorBidi" w:cstheme="majorBidi"/>
          <w:sz w:val="24"/>
          <w:szCs w:val="24"/>
        </w:rPr>
        <w:t xml:space="preserve">no </w:t>
      </w:r>
      <w:bookmarkStart w:id="17" w:name="_Hlk95020942"/>
      <w:r w:rsidR="00017D98" w:rsidRPr="00E040D1">
        <w:rPr>
          <w:rFonts w:asciiTheme="majorBidi" w:hAnsiTheme="majorBidi" w:cstheme="majorBidi"/>
          <w:sz w:val="24"/>
          <w:szCs w:val="24"/>
        </w:rPr>
        <w:t>statistically significant difference in D-</w:t>
      </w:r>
      <w:r w:rsidR="001129A5" w:rsidRPr="00E040D1">
        <w:rPr>
          <w:rFonts w:asciiTheme="majorBidi" w:hAnsiTheme="majorBidi" w:cstheme="majorBidi"/>
          <w:sz w:val="24"/>
          <w:szCs w:val="24"/>
        </w:rPr>
        <w:t>dimer between</w:t>
      </w:r>
      <w:r w:rsidR="00017D98" w:rsidRPr="00E040D1">
        <w:rPr>
          <w:rFonts w:asciiTheme="majorBidi" w:hAnsiTheme="majorBidi" w:cstheme="majorBidi"/>
          <w:sz w:val="24"/>
          <w:szCs w:val="24"/>
        </w:rPr>
        <w:t xml:space="preserve"> patients in both groups</w:t>
      </w:r>
      <w:bookmarkEnd w:id="16"/>
      <w:bookmarkEnd w:id="17"/>
      <w:r w:rsidR="00E00847" w:rsidRPr="00E040D1">
        <w:rPr>
          <w:rFonts w:asciiTheme="majorBidi" w:hAnsiTheme="majorBidi" w:cstheme="majorBidi"/>
          <w:sz w:val="24"/>
          <w:szCs w:val="24"/>
        </w:rPr>
        <w:t xml:space="preserve">. </w:t>
      </w:r>
      <w:r w:rsidR="00017D98" w:rsidRPr="00E040D1">
        <w:rPr>
          <w:rFonts w:asciiTheme="majorBidi" w:hAnsiTheme="majorBidi" w:cstheme="majorBidi"/>
          <w:sz w:val="24"/>
          <w:szCs w:val="24"/>
        </w:rPr>
        <w:t>But agreed with our study in measurement of D-dimer after 10 days of ICU sta</w:t>
      </w:r>
      <w:bookmarkStart w:id="18" w:name="_Hlk95169710"/>
      <w:r w:rsidR="00E00847" w:rsidRPr="00E040D1">
        <w:rPr>
          <w:rFonts w:asciiTheme="majorBidi" w:hAnsiTheme="majorBidi" w:cstheme="majorBidi"/>
          <w:sz w:val="24"/>
          <w:szCs w:val="24"/>
        </w:rPr>
        <w:t xml:space="preserve">y </w:t>
      </w:r>
      <w:r w:rsidR="00017D98" w:rsidRPr="00E040D1">
        <w:rPr>
          <w:rFonts w:asciiTheme="majorBidi" w:hAnsiTheme="majorBidi" w:cstheme="majorBidi"/>
          <w:b/>
          <w:bCs/>
          <w:sz w:val="24"/>
          <w:szCs w:val="24"/>
        </w:rPr>
        <w:t>(</w:t>
      </w:r>
      <w:r w:rsidR="000D4244" w:rsidRPr="00E040D1">
        <w:rPr>
          <w:rFonts w:asciiTheme="majorBidi" w:hAnsiTheme="majorBidi" w:cstheme="majorBidi"/>
          <w:b/>
          <w:bCs/>
          <w:sz w:val="24"/>
          <w:szCs w:val="24"/>
          <w:shd w:val="clear" w:color="auto" w:fill="FFFFFF"/>
        </w:rPr>
        <w:t>5</w:t>
      </w:r>
      <w:r w:rsidR="00FD0DED" w:rsidRPr="00E040D1">
        <w:rPr>
          <w:rFonts w:asciiTheme="majorBidi" w:hAnsiTheme="majorBidi" w:cstheme="majorBidi"/>
          <w:b/>
          <w:bCs/>
          <w:sz w:val="24"/>
          <w:szCs w:val="24"/>
          <w:shd w:val="clear" w:color="auto" w:fill="FFFFFF"/>
        </w:rPr>
        <w:t>1</w:t>
      </w:r>
      <w:r w:rsidR="00017D98" w:rsidRPr="00E040D1">
        <w:rPr>
          <w:rFonts w:asciiTheme="majorBidi" w:hAnsiTheme="majorBidi" w:cstheme="majorBidi"/>
          <w:b/>
          <w:bCs/>
          <w:sz w:val="24"/>
          <w:szCs w:val="24"/>
        </w:rPr>
        <w:t>).</w:t>
      </w:r>
      <w:bookmarkEnd w:id="18"/>
      <w:r w:rsidR="001129A5" w:rsidRPr="00E040D1">
        <w:rPr>
          <w:rFonts w:asciiTheme="majorBidi" w:eastAsia="Times New Roman" w:hAnsiTheme="majorBidi" w:cstheme="majorBidi"/>
          <w:sz w:val="24"/>
          <w:szCs w:val="24"/>
        </w:rPr>
        <w:t xml:space="preserve"> </w:t>
      </w:r>
      <w:r w:rsidR="00017D98" w:rsidRPr="00E040D1">
        <w:rPr>
          <w:rFonts w:asciiTheme="majorBidi" w:hAnsiTheme="majorBidi" w:cstheme="majorBidi"/>
          <w:sz w:val="24"/>
          <w:szCs w:val="24"/>
        </w:rPr>
        <w:t>Serum LDH showed</w:t>
      </w:r>
      <w:bookmarkStart w:id="19" w:name="_Hlk95021815"/>
      <w:r w:rsidR="00017D98" w:rsidRPr="00E040D1">
        <w:rPr>
          <w:rFonts w:asciiTheme="majorBidi" w:hAnsiTheme="majorBidi" w:cstheme="majorBidi"/>
          <w:sz w:val="24"/>
          <w:szCs w:val="24"/>
        </w:rPr>
        <w:t xml:space="preserve"> </w:t>
      </w:r>
      <w:bookmarkStart w:id="20" w:name="_Hlk95040749"/>
      <w:r w:rsidR="00017D98" w:rsidRPr="00E040D1">
        <w:rPr>
          <w:rFonts w:asciiTheme="majorBidi" w:hAnsiTheme="majorBidi" w:cstheme="majorBidi"/>
          <w:sz w:val="24"/>
          <w:szCs w:val="24"/>
        </w:rPr>
        <w:t xml:space="preserve">no </w:t>
      </w:r>
      <w:bookmarkStart w:id="21" w:name="_Hlk95022004"/>
      <w:r w:rsidR="00017D98" w:rsidRPr="00E040D1">
        <w:rPr>
          <w:rFonts w:asciiTheme="majorBidi" w:hAnsiTheme="majorBidi" w:cstheme="majorBidi"/>
          <w:sz w:val="24"/>
          <w:szCs w:val="24"/>
        </w:rPr>
        <w:t xml:space="preserve">statistically significant </w:t>
      </w:r>
      <w:r w:rsidR="00E00847" w:rsidRPr="00E040D1">
        <w:rPr>
          <w:rFonts w:asciiTheme="majorBidi" w:hAnsiTheme="majorBidi" w:cstheme="majorBidi"/>
          <w:sz w:val="24"/>
          <w:szCs w:val="24"/>
        </w:rPr>
        <w:t>difference between</w:t>
      </w:r>
      <w:r w:rsidR="00017D98" w:rsidRPr="00E040D1">
        <w:rPr>
          <w:rFonts w:asciiTheme="majorBidi" w:hAnsiTheme="majorBidi" w:cstheme="majorBidi"/>
          <w:sz w:val="24"/>
          <w:szCs w:val="24"/>
        </w:rPr>
        <w:t xml:space="preserve"> patients in both groups</w:t>
      </w:r>
      <w:bookmarkEnd w:id="19"/>
      <w:bookmarkEnd w:id="21"/>
      <w:r w:rsidR="00017D98" w:rsidRPr="00E040D1">
        <w:rPr>
          <w:rFonts w:asciiTheme="majorBidi" w:hAnsiTheme="majorBidi" w:cstheme="majorBidi"/>
          <w:sz w:val="24"/>
          <w:szCs w:val="24"/>
        </w:rPr>
        <w:t xml:space="preserve"> in our study</w:t>
      </w:r>
      <w:bookmarkEnd w:id="20"/>
      <w:r w:rsidR="00017D98" w:rsidRPr="00E040D1">
        <w:rPr>
          <w:rFonts w:asciiTheme="majorBidi" w:hAnsiTheme="majorBidi" w:cstheme="majorBidi"/>
          <w:sz w:val="24"/>
          <w:szCs w:val="24"/>
        </w:rPr>
        <w:t xml:space="preserve"> either on admission or after 10 days </w:t>
      </w:r>
      <w:r w:rsidR="00017D98" w:rsidRPr="00E040D1">
        <w:rPr>
          <w:rFonts w:asciiTheme="majorBidi" w:hAnsiTheme="majorBidi" w:cstheme="majorBidi"/>
          <w:sz w:val="24"/>
          <w:szCs w:val="24"/>
        </w:rPr>
        <w:lastRenderedPageBreak/>
        <w:t>of ICU stay</w:t>
      </w:r>
      <w:r w:rsidR="00E00847" w:rsidRPr="00E040D1">
        <w:rPr>
          <w:rFonts w:asciiTheme="majorBidi" w:hAnsiTheme="majorBidi" w:cstheme="majorBidi"/>
          <w:sz w:val="24"/>
          <w:szCs w:val="24"/>
        </w:rPr>
        <w:t xml:space="preserve"> which in same line with other study </w:t>
      </w:r>
      <w:r w:rsidR="00E00847" w:rsidRPr="00E040D1">
        <w:rPr>
          <w:rFonts w:asciiTheme="majorBidi" w:hAnsiTheme="majorBidi" w:cstheme="majorBidi"/>
          <w:b/>
          <w:bCs/>
          <w:sz w:val="24"/>
          <w:szCs w:val="24"/>
        </w:rPr>
        <w:t>(</w:t>
      </w:r>
      <w:r w:rsidR="000D4244" w:rsidRPr="00E040D1">
        <w:rPr>
          <w:rFonts w:asciiTheme="majorBidi" w:hAnsiTheme="majorBidi" w:cstheme="majorBidi"/>
          <w:b/>
          <w:bCs/>
          <w:sz w:val="24"/>
          <w:szCs w:val="24"/>
        </w:rPr>
        <w:t>5</w:t>
      </w:r>
      <w:r w:rsidR="00FD0DED" w:rsidRPr="00E040D1">
        <w:rPr>
          <w:rFonts w:asciiTheme="majorBidi" w:hAnsiTheme="majorBidi" w:cstheme="majorBidi"/>
          <w:b/>
          <w:bCs/>
          <w:sz w:val="24"/>
          <w:szCs w:val="24"/>
        </w:rPr>
        <w:t>1</w:t>
      </w:r>
      <w:r w:rsidR="00E00847" w:rsidRPr="00E040D1">
        <w:rPr>
          <w:rFonts w:asciiTheme="majorBidi" w:hAnsiTheme="majorBidi" w:cstheme="majorBidi"/>
          <w:b/>
          <w:bCs/>
          <w:sz w:val="24"/>
          <w:szCs w:val="24"/>
        </w:rPr>
        <w:t>).</w:t>
      </w:r>
      <w:r w:rsidR="00E00847" w:rsidRPr="00E040D1">
        <w:rPr>
          <w:rFonts w:asciiTheme="majorBidi" w:hAnsiTheme="majorBidi" w:cstheme="majorBidi"/>
          <w:sz w:val="24"/>
          <w:szCs w:val="24"/>
        </w:rPr>
        <w:t xml:space="preserve"> </w:t>
      </w:r>
      <w:r w:rsidR="00017D98" w:rsidRPr="00E040D1">
        <w:rPr>
          <w:rFonts w:asciiTheme="majorBidi" w:hAnsiTheme="majorBidi" w:cstheme="majorBidi"/>
          <w:sz w:val="24"/>
          <w:szCs w:val="24"/>
        </w:rPr>
        <w:t xml:space="preserve">On the other </w:t>
      </w:r>
      <w:r w:rsidR="001129A5" w:rsidRPr="00E040D1">
        <w:rPr>
          <w:rFonts w:asciiTheme="majorBidi" w:hAnsiTheme="majorBidi" w:cstheme="majorBidi"/>
          <w:sz w:val="24"/>
          <w:szCs w:val="24"/>
        </w:rPr>
        <w:t>hand,</w:t>
      </w:r>
      <w:r w:rsidR="00017D98" w:rsidRPr="00E040D1">
        <w:rPr>
          <w:rFonts w:asciiTheme="majorBidi" w:hAnsiTheme="majorBidi" w:cstheme="majorBidi"/>
          <w:sz w:val="24"/>
          <w:szCs w:val="24"/>
        </w:rPr>
        <w:t xml:space="preserve"> they found that there was statistically significant </w:t>
      </w:r>
      <w:r w:rsidR="00E00847" w:rsidRPr="00E040D1">
        <w:rPr>
          <w:rFonts w:asciiTheme="majorBidi" w:hAnsiTheme="majorBidi" w:cstheme="majorBidi"/>
          <w:sz w:val="24"/>
          <w:szCs w:val="24"/>
        </w:rPr>
        <w:t>difference between</w:t>
      </w:r>
      <w:r w:rsidR="00017D98" w:rsidRPr="00E040D1">
        <w:rPr>
          <w:rFonts w:asciiTheme="majorBidi" w:hAnsiTheme="majorBidi" w:cstheme="majorBidi"/>
          <w:sz w:val="24"/>
          <w:szCs w:val="24"/>
        </w:rPr>
        <w:t xml:space="preserve"> patients in both groups 10 days after admission. They found more improvement </w:t>
      </w:r>
      <w:r w:rsidR="00E00847" w:rsidRPr="00E040D1">
        <w:rPr>
          <w:rFonts w:asciiTheme="majorBidi" w:hAnsiTheme="majorBidi" w:cstheme="majorBidi"/>
          <w:sz w:val="24"/>
          <w:szCs w:val="24"/>
        </w:rPr>
        <w:t>in LDH</w:t>
      </w:r>
      <w:r w:rsidR="00017D98" w:rsidRPr="00E040D1">
        <w:rPr>
          <w:rFonts w:asciiTheme="majorBidi" w:hAnsiTheme="majorBidi" w:cstheme="majorBidi"/>
          <w:sz w:val="24"/>
          <w:szCs w:val="24"/>
        </w:rPr>
        <w:t xml:space="preserve"> in the patients who treated with </w:t>
      </w:r>
      <w:r w:rsidR="001129A5" w:rsidRPr="00E040D1">
        <w:rPr>
          <w:rFonts w:asciiTheme="majorBidi" w:hAnsiTheme="majorBidi" w:cstheme="majorBidi"/>
          <w:sz w:val="24"/>
          <w:szCs w:val="24"/>
        </w:rPr>
        <w:t>Methylprednisolone</w:t>
      </w:r>
      <w:r w:rsidR="00017D98" w:rsidRPr="00E040D1">
        <w:rPr>
          <w:rFonts w:asciiTheme="majorBidi" w:hAnsiTheme="majorBidi" w:cstheme="majorBidi"/>
          <w:sz w:val="24"/>
          <w:szCs w:val="24"/>
        </w:rPr>
        <w:t xml:space="preserve"> rather than the patients who treated with Dexamethasone </w:t>
      </w:r>
      <w:r w:rsidR="00E00847" w:rsidRPr="00E040D1">
        <w:rPr>
          <w:rFonts w:asciiTheme="majorBidi" w:hAnsiTheme="majorBidi" w:cstheme="majorBidi"/>
          <w:b/>
          <w:bCs/>
          <w:sz w:val="24"/>
          <w:szCs w:val="24"/>
        </w:rPr>
        <w:t>(</w:t>
      </w:r>
      <w:r w:rsidR="000D4244" w:rsidRPr="00E040D1">
        <w:rPr>
          <w:rFonts w:asciiTheme="majorBidi" w:hAnsiTheme="majorBidi" w:cstheme="majorBidi"/>
          <w:b/>
          <w:bCs/>
          <w:sz w:val="24"/>
          <w:szCs w:val="24"/>
        </w:rPr>
        <w:t>5</w:t>
      </w:r>
      <w:r w:rsidR="00FD0DED" w:rsidRPr="00E040D1">
        <w:rPr>
          <w:rFonts w:asciiTheme="majorBidi" w:hAnsiTheme="majorBidi" w:cstheme="majorBidi"/>
          <w:b/>
          <w:bCs/>
          <w:sz w:val="24"/>
          <w:szCs w:val="24"/>
        </w:rPr>
        <w:t>1</w:t>
      </w:r>
      <w:r w:rsidR="00E00847" w:rsidRPr="00E040D1">
        <w:rPr>
          <w:rFonts w:asciiTheme="majorBidi" w:hAnsiTheme="majorBidi" w:cstheme="majorBidi"/>
          <w:b/>
          <w:bCs/>
          <w:sz w:val="24"/>
          <w:szCs w:val="24"/>
        </w:rPr>
        <w:t>).</w:t>
      </w:r>
      <w:r w:rsidR="001129A5" w:rsidRPr="00E040D1">
        <w:rPr>
          <w:rFonts w:asciiTheme="majorBidi" w:eastAsia="Times New Roman" w:hAnsiTheme="majorBidi" w:cstheme="majorBidi"/>
          <w:sz w:val="24"/>
          <w:szCs w:val="24"/>
        </w:rPr>
        <w:t xml:space="preserve"> </w:t>
      </w:r>
      <w:r w:rsidR="00017D98" w:rsidRPr="00E040D1">
        <w:rPr>
          <w:rFonts w:asciiTheme="majorBidi" w:hAnsiTheme="majorBidi" w:cstheme="majorBidi"/>
          <w:sz w:val="24"/>
          <w:szCs w:val="24"/>
        </w:rPr>
        <w:t xml:space="preserve">There was no statistically significant </w:t>
      </w:r>
      <w:r w:rsidR="001129A5" w:rsidRPr="00E040D1">
        <w:rPr>
          <w:rFonts w:asciiTheme="majorBidi" w:hAnsiTheme="majorBidi" w:cstheme="majorBidi"/>
          <w:sz w:val="24"/>
          <w:szCs w:val="24"/>
        </w:rPr>
        <w:t>difference between</w:t>
      </w:r>
      <w:r w:rsidR="00017D98" w:rsidRPr="00E040D1">
        <w:rPr>
          <w:rFonts w:asciiTheme="majorBidi" w:hAnsiTheme="majorBidi" w:cstheme="majorBidi"/>
          <w:sz w:val="24"/>
          <w:szCs w:val="24"/>
        </w:rPr>
        <w:t xml:space="preserve"> patients in both groups in our study regarding other laboratory finding as </w:t>
      </w:r>
      <w:r w:rsidR="001263A0" w:rsidRPr="00E040D1">
        <w:rPr>
          <w:rFonts w:asciiTheme="majorBidi" w:hAnsiTheme="majorBidi" w:cstheme="majorBidi"/>
          <w:sz w:val="24"/>
          <w:szCs w:val="24"/>
        </w:rPr>
        <w:t>ALT, Urea, Creatinine</w:t>
      </w:r>
      <w:r w:rsidR="00017D98" w:rsidRPr="00E040D1">
        <w:rPr>
          <w:rFonts w:asciiTheme="majorBidi" w:hAnsiTheme="majorBidi" w:cstheme="majorBidi"/>
          <w:sz w:val="24"/>
          <w:szCs w:val="24"/>
        </w:rPr>
        <w:t xml:space="preserve"> either on admission or after 10 days of ICU admission.</w:t>
      </w:r>
      <w:bookmarkStart w:id="22" w:name="_Hlk94521118"/>
      <w:r w:rsidR="00E00847" w:rsidRPr="00E040D1">
        <w:rPr>
          <w:rFonts w:asciiTheme="majorBidi" w:hAnsiTheme="majorBidi" w:cstheme="majorBidi"/>
          <w:sz w:val="24"/>
          <w:szCs w:val="24"/>
        </w:rPr>
        <w:t xml:space="preserve"> Also agreed with other </w:t>
      </w:r>
      <w:r w:rsidR="000D4244" w:rsidRPr="00E040D1">
        <w:rPr>
          <w:rFonts w:asciiTheme="majorBidi" w:hAnsiTheme="majorBidi" w:cstheme="majorBidi"/>
          <w:b/>
          <w:bCs/>
          <w:sz w:val="24"/>
          <w:szCs w:val="24"/>
        </w:rPr>
        <w:t>(5</w:t>
      </w:r>
      <w:r w:rsidR="00FD0DED" w:rsidRPr="00E040D1">
        <w:rPr>
          <w:rFonts w:asciiTheme="majorBidi" w:hAnsiTheme="majorBidi" w:cstheme="majorBidi"/>
          <w:b/>
          <w:bCs/>
          <w:sz w:val="24"/>
          <w:szCs w:val="24"/>
        </w:rPr>
        <w:t>1</w:t>
      </w:r>
      <w:r w:rsidR="00E00847" w:rsidRPr="00E040D1">
        <w:rPr>
          <w:rFonts w:asciiTheme="majorBidi" w:hAnsiTheme="majorBidi" w:cstheme="majorBidi"/>
          <w:b/>
          <w:bCs/>
          <w:sz w:val="24"/>
          <w:szCs w:val="24"/>
        </w:rPr>
        <w:t>)</w:t>
      </w:r>
      <w:bookmarkEnd w:id="22"/>
      <w:r w:rsidR="00E00847" w:rsidRPr="00E040D1">
        <w:rPr>
          <w:rFonts w:asciiTheme="majorBidi" w:hAnsiTheme="majorBidi" w:cstheme="majorBidi"/>
          <w:sz w:val="24"/>
          <w:szCs w:val="24"/>
        </w:rPr>
        <w:t xml:space="preserve"> </w:t>
      </w:r>
      <w:r w:rsidR="0030369A" w:rsidRPr="00E040D1">
        <w:rPr>
          <w:rFonts w:asciiTheme="majorBidi" w:hAnsiTheme="majorBidi" w:cstheme="majorBidi"/>
          <w:sz w:val="24"/>
          <w:szCs w:val="24"/>
        </w:rPr>
        <w:t>A</w:t>
      </w:r>
      <w:r w:rsidR="00E00847" w:rsidRPr="00E040D1">
        <w:rPr>
          <w:rFonts w:asciiTheme="majorBidi" w:hAnsiTheme="majorBidi" w:cstheme="majorBidi"/>
          <w:sz w:val="24"/>
          <w:szCs w:val="24"/>
        </w:rPr>
        <w:t>s</w:t>
      </w:r>
      <w:r w:rsidR="00017D98" w:rsidRPr="00E040D1">
        <w:rPr>
          <w:rFonts w:asciiTheme="majorBidi" w:hAnsiTheme="majorBidi" w:cstheme="majorBidi"/>
          <w:sz w:val="24"/>
          <w:szCs w:val="24"/>
        </w:rPr>
        <w:t xml:space="preserve"> regard patients Mortality Our </w:t>
      </w:r>
      <w:r w:rsidR="00017D98" w:rsidRPr="00E040D1">
        <w:rPr>
          <w:rFonts w:asciiTheme="majorBidi" w:hAnsiTheme="majorBidi" w:cstheme="majorBidi"/>
          <w:sz w:val="24"/>
          <w:szCs w:val="24"/>
        </w:rPr>
        <w:lastRenderedPageBreak/>
        <w:t xml:space="preserve">study showed that the rate of mortality among patients who treated with </w:t>
      </w:r>
      <w:r w:rsidR="00E00847" w:rsidRPr="00E040D1">
        <w:rPr>
          <w:rFonts w:asciiTheme="majorBidi" w:hAnsiTheme="majorBidi" w:cstheme="majorBidi"/>
          <w:sz w:val="24"/>
          <w:szCs w:val="24"/>
        </w:rPr>
        <w:t>Methylprednisolone</w:t>
      </w:r>
      <w:r w:rsidR="00017D98" w:rsidRPr="00E040D1">
        <w:rPr>
          <w:rFonts w:asciiTheme="majorBidi" w:hAnsiTheme="majorBidi" w:cstheme="majorBidi"/>
          <w:sz w:val="24"/>
          <w:szCs w:val="24"/>
        </w:rPr>
        <w:t xml:space="preserve"> much lower than the mortality among patients who treated with Dexamethasone</w:t>
      </w:r>
      <w:r w:rsidR="00E00847" w:rsidRPr="00E040D1">
        <w:rPr>
          <w:rFonts w:asciiTheme="majorBidi" w:hAnsiTheme="majorBidi" w:cstheme="majorBidi"/>
          <w:sz w:val="24"/>
          <w:szCs w:val="24"/>
        </w:rPr>
        <w:t xml:space="preserve"> which agreed with other report, sufficiently dosed methylprednisolone can lead to a further decreased mortality as compared to dexamethasone </w:t>
      </w:r>
      <w:r w:rsidR="00E00847" w:rsidRPr="00E040D1">
        <w:rPr>
          <w:rFonts w:asciiTheme="majorBidi" w:hAnsiTheme="majorBidi" w:cstheme="majorBidi"/>
          <w:b/>
          <w:bCs/>
          <w:sz w:val="24"/>
          <w:szCs w:val="24"/>
        </w:rPr>
        <w:t>(</w:t>
      </w:r>
      <w:r w:rsidR="00E950A3" w:rsidRPr="00E040D1">
        <w:rPr>
          <w:rFonts w:asciiTheme="majorBidi" w:hAnsiTheme="majorBidi" w:cstheme="majorBidi"/>
          <w:b/>
          <w:bCs/>
          <w:sz w:val="24"/>
          <w:szCs w:val="24"/>
        </w:rPr>
        <w:t>48</w:t>
      </w:r>
      <w:r w:rsidR="00E00847" w:rsidRPr="00E040D1">
        <w:rPr>
          <w:rFonts w:asciiTheme="majorBidi" w:hAnsiTheme="majorBidi" w:cstheme="majorBidi"/>
          <w:b/>
          <w:bCs/>
          <w:sz w:val="24"/>
          <w:szCs w:val="24"/>
        </w:rPr>
        <w:t>).</w:t>
      </w:r>
      <w:r w:rsidR="00E00847" w:rsidRPr="00E040D1">
        <w:rPr>
          <w:rFonts w:asciiTheme="majorBidi" w:hAnsiTheme="majorBidi" w:cstheme="majorBidi"/>
          <w:sz w:val="24"/>
          <w:szCs w:val="24"/>
        </w:rPr>
        <w:t xml:space="preserve"> Our study has some limitations</w:t>
      </w:r>
      <w:r w:rsidR="00EC7AF1" w:rsidRPr="00E040D1">
        <w:rPr>
          <w:rFonts w:asciiTheme="majorBidi" w:hAnsiTheme="majorBidi" w:cstheme="majorBidi"/>
          <w:sz w:val="24"/>
          <w:szCs w:val="24"/>
        </w:rPr>
        <w:t xml:space="preserve"> as small sample size and the overall outcome of ARDS in Covid still unclear as well as the outcome of the present protocols. Further studies and research will solve </w:t>
      </w:r>
      <w:r w:rsidR="001129A5" w:rsidRPr="00E040D1">
        <w:rPr>
          <w:rFonts w:asciiTheme="majorBidi" w:hAnsiTheme="majorBidi" w:cstheme="majorBidi"/>
          <w:sz w:val="24"/>
          <w:szCs w:val="24"/>
        </w:rPr>
        <w:t>these limitations</w:t>
      </w:r>
      <w:r w:rsidR="00EC7AF1" w:rsidRPr="00E040D1">
        <w:rPr>
          <w:rFonts w:asciiTheme="majorBidi" w:hAnsiTheme="majorBidi" w:cstheme="majorBidi"/>
          <w:sz w:val="24"/>
          <w:szCs w:val="24"/>
        </w:rPr>
        <w:t>.</w:t>
      </w:r>
      <w:r w:rsidR="001129A5" w:rsidRPr="00E040D1">
        <w:rPr>
          <w:rFonts w:asciiTheme="majorBidi" w:eastAsia="Times New Roman" w:hAnsiTheme="majorBidi" w:cstheme="majorBidi"/>
          <w:sz w:val="24"/>
          <w:szCs w:val="24"/>
        </w:rPr>
        <w:t xml:space="preserve"> </w:t>
      </w:r>
    </w:p>
    <w:p w14:paraId="70DE118C" w14:textId="77777777" w:rsidR="0030369A" w:rsidRPr="00E040D1" w:rsidRDefault="0030369A" w:rsidP="00E040D1">
      <w:pPr>
        <w:shd w:val="clear" w:color="auto" w:fill="FFFFFF"/>
        <w:spacing w:after="240" w:line="276" w:lineRule="auto"/>
        <w:jc w:val="both"/>
        <w:rPr>
          <w:rFonts w:asciiTheme="majorBidi" w:hAnsiTheme="majorBidi" w:cstheme="majorBidi"/>
          <w:b/>
          <w:bCs/>
          <w:sz w:val="24"/>
          <w:szCs w:val="24"/>
        </w:rPr>
        <w:sectPr w:rsidR="0030369A" w:rsidRPr="00E040D1" w:rsidSect="00B7496A">
          <w:type w:val="continuous"/>
          <w:pgSz w:w="12240" w:h="15840"/>
          <w:pgMar w:top="1440" w:right="1440" w:bottom="1440" w:left="1440" w:header="720" w:footer="720" w:gutter="0"/>
          <w:cols w:num="2" w:space="720"/>
          <w:docGrid w:linePitch="360"/>
        </w:sectPr>
      </w:pPr>
    </w:p>
    <w:p w14:paraId="4E02CA67" w14:textId="77777777" w:rsidR="004D2FB8" w:rsidRPr="00E040D1" w:rsidRDefault="00EC7AF1" w:rsidP="004D2FB8">
      <w:pPr>
        <w:shd w:val="clear" w:color="auto" w:fill="FFFFFF"/>
        <w:spacing w:after="240" w:line="276" w:lineRule="auto"/>
        <w:jc w:val="both"/>
        <w:rPr>
          <w:rFonts w:asciiTheme="majorBidi" w:hAnsiTheme="majorBidi" w:cstheme="majorBidi"/>
          <w:sz w:val="24"/>
          <w:szCs w:val="24"/>
          <w:rtl/>
        </w:rPr>
      </w:pPr>
      <w:r w:rsidRPr="00E040D1">
        <w:rPr>
          <w:rFonts w:asciiTheme="majorBidi" w:hAnsiTheme="majorBidi" w:cstheme="majorBidi"/>
          <w:b/>
          <w:bCs/>
          <w:sz w:val="24"/>
          <w:szCs w:val="24"/>
        </w:rPr>
        <w:lastRenderedPageBreak/>
        <w:t>Conclusion</w:t>
      </w:r>
      <w:r w:rsidRPr="00E040D1">
        <w:rPr>
          <w:rFonts w:asciiTheme="majorBidi" w:hAnsiTheme="majorBidi" w:cstheme="majorBidi"/>
          <w:sz w:val="24"/>
          <w:szCs w:val="24"/>
        </w:rPr>
        <w:t xml:space="preserve">, </w:t>
      </w:r>
      <w:r w:rsidR="004D2FB8">
        <w:rPr>
          <w:rFonts w:asciiTheme="majorBidi" w:hAnsiTheme="majorBidi" w:cstheme="majorBidi"/>
          <w:sz w:val="24"/>
          <w:szCs w:val="24"/>
        </w:rPr>
        <w:t>Covid 19 is global pandemic</w:t>
      </w:r>
      <w:r w:rsidR="004D2FB8" w:rsidRPr="00E040D1">
        <w:rPr>
          <w:rFonts w:asciiTheme="majorBidi" w:hAnsiTheme="majorBidi" w:cstheme="majorBidi"/>
          <w:sz w:val="24"/>
          <w:szCs w:val="24"/>
        </w:rPr>
        <w:t xml:space="preserve"> with worldwide mortality rate that need urgent interventions from all world to face this catastrophe</w:t>
      </w:r>
      <w:r w:rsidR="004D2FB8">
        <w:rPr>
          <w:rFonts w:asciiTheme="majorBidi" w:hAnsiTheme="majorBidi" w:cstheme="majorBidi"/>
          <w:sz w:val="24"/>
          <w:szCs w:val="24"/>
        </w:rPr>
        <w:t>.</w:t>
      </w:r>
      <w:r w:rsidR="004D2FB8" w:rsidRPr="00E040D1">
        <w:rPr>
          <w:rFonts w:asciiTheme="majorBidi" w:hAnsiTheme="majorBidi" w:cstheme="majorBidi"/>
          <w:sz w:val="24"/>
          <w:szCs w:val="24"/>
        </w:rPr>
        <w:t xml:space="preserve"> </w:t>
      </w:r>
      <w:r w:rsidR="004D2FB8">
        <w:rPr>
          <w:rFonts w:asciiTheme="majorBidi" w:hAnsiTheme="majorBidi" w:cstheme="majorBidi"/>
          <w:sz w:val="24"/>
          <w:szCs w:val="24"/>
        </w:rPr>
        <w:t>However,</w:t>
      </w:r>
      <w:r w:rsidR="004D2FB8" w:rsidRPr="00E040D1">
        <w:rPr>
          <w:rFonts w:asciiTheme="majorBidi" w:hAnsiTheme="majorBidi" w:cstheme="majorBidi"/>
          <w:sz w:val="24"/>
          <w:szCs w:val="24"/>
        </w:rPr>
        <w:t xml:space="preserve"> ICU stay, d dimer, ferritin, NLR among patients who treated with Dexamethasone lower than among patients who treated with Methylprednisolone</w:t>
      </w:r>
      <w:r w:rsidR="004D2FB8">
        <w:rPr>
          <w:rFonts w:asciiTheme="majorBidi" w:hAnsiTheme="majorBidi" w:cstheme="majorBidi"/>
          <w:sz w:val="24"/>
          <w:szCs w:val="24"/>
        </w:rPr>
        <w:t xml:space="preserve">, those treated with </w:t>
      </w:r>
      <w:r w:rsidR="004D2FB8" w:rsidRPr="00E040D1">
        <w:rPr>
          <w:rFonts w:asciiTheme="majorBidi" w:hAnsiTheme="majorBidi" w:cstheme="majorBidi"/>
          <w:sz w:val="24"/>
          <w:szCs w:val="24"/>
        </w:rPr>
        <w:t>Methylprednisolone</w:t>
      </w:r>
      <w:r w:rsidR="004D2FB8">
        <w:rPr>
          <w:rFonts w:asciiTheme="majorBidi" w:hAnsiTheme="majorBidi" w:cstheme="majorBidi"/>
          <w:sz w:val="24"/>
          <w:szCs w:val="24"/>
        </w:rPr>
        <w:t xml:space="preserve"> had better mortality rates</w:t>
      </w:r>
      <w:r w:rsidR="004D2FB8" w:rsidRPr="00E040D1">
        <w:rPr>
          <w:rFonts w:asciiTheme="majorBidi" w:hAnsiTheme="majorBidi" w:cstheme="majorBidi"/>
          <w:sz w:val="24"/>
          <w:szCs w:val="24"/>
        </w:rPr>
        <w:t xml:space="preserve">. </w:t>
      </w:r>
    </w:p>
    <w:p w14:paraId="586740E0" w14:textId="77777777" w:rsidR="00AB14AA" w:rsidRPr="00E040D1" w:rsidRDefault="00AB14AA" w:rsidP="00E040D1">
      <w:pPr>
        <w:shd w:val="clear" w:color="auto" w:fill="FFFFFF"/>
        <w:spacing w:before="240" w:after="240" w:line="276" w:lineRule="auto"/>
        <w:jc w:val="both"/>
        <w:rPr>
          <w:rFonts w:asciiTheme="majorBidi" w:hAnsiTheme="majorBidi" w:cstheme="majorBidi"/>
          <w:sz w:val="24"/>
          <w:szCs w:val="24"/>
        </w:rPr>
        <w:sectPr w:rsidR="00AB14AA" w:rsidRPr="00E040D1" w:rsidSect="00620D9F">
          <w:type w:val="continuous"/>
          <w:pgSz w:w="12240" w:h="15840"/>
          <w:pgMar w:top="1440" w:right="1440" w:bottom="1440" w:left="1440" w:header="720" w:footer="720" w:gutter="0"/>
          <w:cols w:space="720"/>
          <w:docGrid w:linePitch="360"/>
        </w:sectPr>
      </w:pPr>
      <w:bookmarkStart w:id="23" w:name="_GoBack"/>
      <w:bookmarkEnd w:id="23"/>
    </w:p>
    <w:p w14:paraId="592FD15C" w14:textId="597CEF59" w:rsidR="001263A0" w:rsidRPr="00E040D1" w:rsidRDefault="001263A0" w:rsidP="00E040D1">
      <w:pPr>
        <w:shd w:val="clear" w:color="auto" w:fill="FFFFFF"/>
        <w:spacing w:before="240" w:after="240" w:line="276" w:lineRule="auto"/>
        <w:jc w:val="both"/>
        <w:rPr>
          <w:rFonts w:asciiTheme="majorBidi" w:hAnsiTheme="majorBidi" w:cstheme="majorBidi"/>
          <w:b/>
          <w:bCs/>
          <w:sz w:val="24"/>
          <w:szCs w:val="24"/>
        </w:rPr>
      </w:pPr>
      <w:r w:rsidRPr="00E040D1">
        <w:rPr>
          <w:rFonts w:asciiTheme="majorBidi" w:hAnsiTheme="majorBidi" w:cstheme="majorBidi"/>
          <w:b/>
          <w:bCs/>
          <w:sz w:val="24"/>
          <w:szCs w:val="24"/>
        </w:rPr>
        <w:lastRenderedPageBreak/>
        <w:t>References</w:t>
      </w:r>
    </w:p>
    <w:p w14:paraId="160E67D4" w14:textId="0F6E7B71" w:rsidR="00394257" w:rsidRPr="00E040D1" w:rsidRDefault="00146C74" w:rsidP="00E040D1">
      <w:pPr>
        <w:spacing w:line="276" w:lineRule="auto"/>
        <w:ind w:left="270" w:hanging="270"/>
        <w:contextualSpacing/>
        <w:jc w:val="both"/>
        <w:rPr>
          <w:rFonts w:asciiTheme="majorBidi" w:hAnsiTheme="majorBidi" w:cstheme="majorBidi"/>
          <w:sz w:val="24"/>
          <w:szCs w:val="24"/>
          <w:rtl/>
        </w:rPr>
      </w:pPr>
      <w:r w:rsidRPr="00E040D1">
        <w:rPr>
          <w:rFonts w:asciiTheme="majorBidi" w:hAnsiTheme="majorBidi" w:cstheme="majorBidi"/>
          <w:sz w:val="24"/>
          <w:szCs w:val="24"/>
        </w:rPr>
        <w:t>1-</w:t>
      </w:r>
      <w:r w:rsidR="00394257" w:rsidRPr="00E040D1">
        <w:rPr>
          <w:rFonts w:asciiTheme="majorBidi" w:hAnsiTheme="majorBidi" w:cstheme="majorBidi"/>
          <w:sz w:val="24"/>
          <w:szCs w:val="24"/>
        </w:rPr>
        <w:t>Cascella M, Rajnik M, Aleem A, et al. Features, Evaluation, and Treatment of Coronavirus (COVID-19) [Updated 2022 Jan 5]. In: Stat Pearls [Internet].</w:t>
      </w:r>
    </w:p>
    <w:p w14:paraId="41B1F553" w14:textId="1B750C2D" w:rsidR="00394257" w:rsidRPr="00E040D1" w:rsidRDefault="00146C74"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2-</w:t>
      </w:r>
      <w:r w:rsidR="00394257" w:rsidRPr="00E040D1">
        <w:rPr>
          <w:rFonts w:asciiTheme="majorBidi" w:hAnsiTheme="majorBidi" w:cstheme="majorBidi"/>
          <w:sz w:val="24"/>
          <w:szCs w:val="24"/>
        </w:rPr>
        <w:t>Rodriguez-Morales AJ, Bonilla-Aldana DK, Balbin-Ramon GJ, Rabaan AA, Sah R, Paniz-Mondolfi A, Pagliano P, Esposito S History is repeating itself: Probable zoonotic spillover as the cause of the 2019 novel Coronavirus Epidemic Infez Med. 2020 Mar 1; 28(1):3-5.</w:t>
      </w:r>
    </w:p>
    <w:p w14:paraId="1AB9C1EA" w14:textId="77777777" w:rsidR="00160D20" w:rsidRPr="00E040D1" w:rsidRDefault="00160D20"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3-Li G, Fan Y, Lai Y, Han T, Li Z, Zhou P, Pan P, Wang W, Hu D, Liu X, Zhang Q, Wu J Coronavirus infections and immune responses. J Med Virol. 2020 Apr; 92(4):424-432.</w:t>
      </w:r>
    </w:p>
    <w:p w14:paraId="31D898DB" w14:textId="77777777" w:rsidR="00160D20" w:rsidRPr="00E040D1" w:rsidRDefault="00160D20"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 xml:space="preserve">4-Lei J, Kusov Y, Hilgenfeld R. Nsp3 of coronaviruses: Structures and functions of </w:t>
      </w:r>
      <w:r w:rsidRPr="00E040D1">
        <w:rPr>
          <w:rFonts w:asciiTheme="majorBidi" w:hAnsiTheme="majorBidi" w:cstheme="majorBidi"/>
          <w:sz w:val="24"/>
          <w:szCs w:val="24"/>
        </w:rPr>
        <w:lastRenderedPageBreak/>
        <w:t>a large multi-domain protein. Antiviral Res. 2018 Jan; 149:58-74</w:t>
      </w:r>
    </w:p>
    <w:p w14:paraId="32C25BF0" w14:textId="34A9B8F2" w:rsidR="00394257" w:rsidRPr="00E040D1" w:rsidRDefault="00160D20" w:rsidP="00E040D1">
      <w:pPr>
        <w:spacing w:line="276" w:lineRule="auto"/>
        <w:ind w:left="270" w:hanging="270"/>
        <w:contextualSpacing/>
        <w:jc w:val="both"/>
        <w:rPr>
          <w:rFonts w:asciiTheme="majorBidi" w:hAnsiTheme="majorBidi" w:cstheme="majorBidi"/>
          <w:sz w:val="24"/>
          <w:szCs w:val="24"/>
          <w:rtl/>
        </w:rPr>
      </w:pPr>
      <w:r w:rsidRPr="00E040D1">
        <w:rPr>
          <w:rFonts w:asciiTheme="majorBidi" w:hAnsiTheme="majorBidi" w:cstheme="majorBidi"/>
          <w:sz w:val="24"/>
          <w:szCs w:val="24"/>
        </w:rPr>
        <w:t>5</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Ahmed W, Angel N, Edson J, Bibby K, et al. 2020. First confirmed detection of SARS-CoV-2 in untreated wastewater in Australia: a proof of concept for the wastewater surveillance of COVID-19 in the community. Sci Total Environ </w:t>
      </w:r>
      <w:r w:rsidR="00394257" w:rsidRPr="00E040D1">
        <w:rPr>
          <w:rFonts w:asciiTheme="majorBidi" w:hAnsiTheme="majorBidi" w:cstheme="majorBidi"/>
          <w:b/>
          <w:bCs/>
          <w:sz w:val="24"/>
          <w:szCs w:val="24"/>
        </w:rPr>
        <w:t>728</w:t>
      </w:r>
      <w:r w:rsidR="00394257" w:rsidRPr="00E040D1">
        <w:rPr>
          <w:rFonts w:asciiTheme="majorBidi" w:hAnsiTheme="majorBidi" w:cstheme="majorBidi"/>
          <w:sz w:val="24"/>
          <w:szCs w:val="24"/>
        </w:rPr>
        <w:t>:138764.</w:t>
      </w:r>
    </w:p>
    <w:p w14:paraId="6A92A363" w14:textId="668F864D" w:rsidR="00394257" w:rsidRPr="00E040D1" w:rsidRDefault="00160D20"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6</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Teuwen LA, Geldhof V, Pasut A, Carmeliet P. COVID-19: the vasculature unleashed. Nat Rev Immunol. 2020 Jul;20(7):389-391.</w:t>
      </w:r>
    </w:p>
    <w:p w14:paraId="1692F318" w14:textId="4205875B" w:rsidR="00394257" w:rsidRPr="00E040D1" w:rsidRDefault="00160D20"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7</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 xml:space="preserve">Li J, Huang DQ, Zou B, Yang H, Hui WZ, </w:t>
      </w:r>
      <w:r w:rsidR="00404679" w:rsidRPr="00E040D1">
        <w:rPr>
          <w:rFonts w:asciiTheme="majorBidi" w:hAnsiTheme="majorBidi" w:cstheme="majorBidi"/>
          <w:sz w:val="24"/>
          <w:szCs w:val="24"/>
        </w:rPr>
        <w:t>et al.</w:t>
      </w:r>
      <w:r w:rsidR="00394257" w:rsidRPr="00E040D1">
        <w:rPr>
          <w:rFonts w:asciiTheme="majorBidi" w:hAnsiTheme="majorBidi" w:cstheme="majorBidi"/>
          <w:sz w:val="24"/>
          <w:szCs w:val="24"/>
        </w:rPr>
        <w:t xml:space="preserve"> A systematic review and meta-analysis of clinical characteristics, risk factors, and outcomes. J Med Virol. 2021 Mar;93(3):1449-1458.</w:t>
      </w:r>
    </w:p>
    <w:p w14:paraId="1E84A94D" w14:textId="7AC843D7" w:rsidR="00394257" w:rsidRPr="00E040D1" w:rsidRDefault="00360C11"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8</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 xml:space="preserve">Yang C Does hand hygiene reduce SARS-CoV-2 transmission? Graefes Arch Clin </w:t>
      </w:r>
      <w:r w:rsidR="00394257" w:rsidRPr="00E040D1">
        <w:rPr>
          <w:rFonts w:asciiTheme="majorBidi" w:hAnsiTheme="majorBidi" w:cstheme="majorBidi"/>
          <w:sz w:val="24"/>
          <w:szCs w:val="24"/>
        </w:rPr>
        <w:lastRenderedPageBreak/>
        <w:t>Exp Ophthalmol. 2020 May; 258(5):1133-1134.</w:t>
      </w:r>
    </w:p>
    <w:p w14:paraId="625FB0AF" w14:textId="6BA11CDD" w:rsidR="00394257" w:rsidRPr="00E040D1" w:rsidRDefault="00360C11"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9</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Xiao F, Tang M, Zheng X, Liu Y, Li X, Shan H. 2020. Evidence for gastrointestinal infection of SARS-CoV-2. Gastroenterology </w:t>
      </w:r>
      <w:r w:rsidR="00394257" w:rsidRPr="00E040D1">
        <w:rPr>
          <w:rFonts w:asciiTheme="majorBidi" w:hAnsiTheme="majorBidi" w:cstheme="majorBidi"/>
          <w:b/>
          <w:bCs/>
          <w:sz w:val="24"/>
          <w:szCs w:val="24"/>
        </w:rPr>
        <w:t>158</w:t>
      </w:r>
      <w:r w:rsidR="00394257" w:rsidRPr="00E040D1">
        <w:rPr>
          <w:rFonts w:asciiTheme="majorBidi" w:hAnsiTheme="majorBidi" w:cstheme="majorBidi"/>
          <w:sz w:val="24"/>
          <w:szCs w:val="24"/>
        </w:rPr>
        <w:t>:1831–1833.</w:t>
      </w:r>
    </w:p>
    <w:p w14:paraId="0C0A0EE1" w14:textId="2911F688" w:rsidR="00394257" w:rsidRPr="00E040D1" w:rsidRDefault="00360C11"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10</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Shen K, Yang Y, Wang T, Zhao D, Jiang Y, et al. Chinese Medical Doctor Association Committee on Respirology Pediatrics., Chinese Research Hospital Association Committee on Pediatrics., Chinese Non-government Medical Institutions Association Committee on Pediatrics., China Association of Traditional Chinese Medicine, Committee on Children’s Health and Medicine Research., China News of Drug Information Association, Committee on Children’s Safety Medication., Global Pediatric Pulmonology Alliance.World J Pediatr. 2020 Jun; 16(3):223-231</w:t>
      </w:r>
    </w:p>
    <w:p w14:paraId="78E99764" w14:textId="5EE3C46F" w:rsidR="00394257" w:rsidRPr="00E040D1" w:rsidRDefault="00360C11"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11</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Wiersinga WJ, Rhodes A, Cheng AC, Peacock SJ, Prescott HC. Pathophysiology, Transmission, Diagnosis, and Treatment of Coronavirus Disease 2019 (COVID-19): A Review. JAMA. 2020 Aug 25;324(8):782-793.</w:t>
      </w:r>
    </w:p>
    <w:p w14:paraId="3461C65F" w14:textId="03FE2F1C" w:rsidR="00394257" w:rsidRPr="00E040D1" w:rsidRDefault="00360C11"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12</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Gandhi RT, Lynch JB, Del Rio C. Mild or Moderate Covid-19. N Engl J Med. 2020 Oct 29;383(18):1757-1766</w:t>
      </w:r>
    </w:p>
    <w:p w14:paraId="26040BD8" w14:textId="5CAA7C4C" w:rsidR="00394257" w:rsidRPr="00E040D1" w:rsidRDefault="00360C11"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13</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Pan Y, Zhang D, Yang P, Poon LLM, Wang Q Viral load of SARS-CoV-2 in clinical samples.Lancet Infect Dis. 2020 Apr; 20(4):411-412.</w:t>
      </w:r>
    </w:p>
    <w:p w14:paraId="04473570" w14:textId="4E76B3B2" w:rsidR="00394257" w:rsidRPr="00E040D1" w:rsidRDefault="00360C11"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14</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 xml:space="preserve">Zou L, Ruan F, Huang M, Liang L, Huang H, Hong Z, Yu J, Kang M, Song Y, Xia J, Guo Q, Song T, He J, Yen HL, Peiris M, Wu J SARS-CoV-2 Viral Load in Upper Respiratory Specimens of Infected </w:t>
      </w:r>
      <w:r w:rsidR="00394257" w:rsidRPr="00E040D1">
        <w:rPr>
          <w:rFonts w:asciiTheme="majorBidi" w:hAnsiTheme="majorBidi" w:cstheme="majorBidi"/>
          <w:sz w:val="24"/>
          <w:szCs w:val="24"/>
        </w:rPr>
        <w:lastRenderedPageBreak/>
        <w:t>Patients.N Engl J Med. 2020 Mar 19; 382(12):1177-1179.</w:t>
      </w:r>
    </w:p>
    <w:p w14:paraId="3AD9C69B" w14:textId="4282A939" w:rsidR="00394257" w:rsidRPr="00E040D1" w:rsidRDefault="00360C11" w:rsidP="00E040D1">
      <w:pPr>
        <w:tabs>
          <w:tab w:val="left" w:pos="3510"/>
        </w:tabs>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15</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 xml:space="preserve">Huang C, Wang Y, Li X, Ren L, Zhao J, Hu Y, et al. Clinical features of patients infected with 2019 novel coronavirus in Wuhan, China. Lancet. 2020;395(10223):497–506. </w:t>
      </w:r>
    </w:p>
    <w:p w14:paraId="4FA4F5A2" w14:textId="145F1889" w:rsidR="00394257" w:rsidRPr="00E040D1" w:rsidRDefault="00360C11"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16</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 xml:space="preserve">Sheahan TP, Sims AC, Graham RL, </w:t>
      </w:r>
      <w:r w:rsidR="00404679" w:rsidRPr="00E040D1">
        <w:rPr>
          <w:rFonts w:asciiTheme="majorBidi" w:hAnsiTheme="majorBidi" w:cstheme="majorBidi"/>
          <w:sz w:val="24"/>
          <w:szCs w:val="24"/>
        </w:rPr>
        <w:t>et al.</w:t>
      </w:r>
      <w:r w:rsidR="00394257" w:rsidRPr="00E040D1">
        <w:rPr>
          <w:rFonts w:asciiTheme="majorBidi" w:hAnsiTheme="majorBidi" w:cstheme="majorBidi"/>
          <w:sz w:val="24"/>
          <w:szCs w:val="24"/>
        </w:rPr>
        <w:t xml:space="preserve"> Broad-spectrum antiviral GS-5734 inhibits both epidemic and zoonotic coronaviruses. Sci Transl Med. 2017 Jun 28; 9(396):</w:t>
      </w:r>
    </w:p>
    <w:p w14:paraId="349DA47B" w14:textId="71097676" w:rsidR="00394257" w:rsidRPr="00E040D1" w:rsidRDefault="00360C11"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1</w:t>
      </w:r>
      <w:r w:rsidR="00146C74" w:rsidRPr="00E040D1">
        <w:rPr>
          <w:rFonts w:asciiTheme="majorBidi" w:hAnsiTheme="majorBidi" w:cstheme="majorBidi"/>
          <w:sz w:val="24"/>
          <w:szCs w:val="24"/>
        </w:rPr>
        <w:t>7-</w:t>
      </w:r>
      <w:r w:rsidR="00394257" w:rsidRPr="00E040D1">
        <w:rPr>
          <w:rFonts w:asciiTheme="majorBidi" w:hAnsiTheme="majorBidi" w:cstheme="majorBidi"/>
          <w:sz w:val="24"/>
          <w:szCs w:val="24"/>
        </w:rPr>
        <w:t xml:space="preserve">Horby P, Lim WS, Emberson JR, </w:t>
      </w:r>
      <w:r w:rsidR="00404679" w:rsidRPr="00E040D1">
        <w:rPr>
          <w:rFonts w:asciiTheme="majorBidi" w:hAnsiTheme="majorBidi" w:cstheme="majorBidi"/>
          <w:sz w:val="24"/>
          <w:szCs w:val="24"/>
        </w:rPr>
        <w:t>et al</w:t>
      </w:r>
      <w:r w:rsidR="00394257" w:rsidRPr="00E040D1">
        <w:rPr>
          <w:rFonts w:asciiTheme="majorBidi" w:hAnsiTheme="majorBidi" w:cstheme="majorBidi"/>
          <w:sz w:val="24"/>
          <w:szCs w:val="24"/>
        </w:rPr>
        <w:t>. RECOVERY Collaborative Group Dexamethasone in Hospitalized Patients with Covid-19. N Engl J Med. 2021 Feb 25;384(8):693-704.</w:t>
      </w:r>
    </w:p>
    <w:p w14:paraId="1EBBDB1A" w14:textId="46C3DF6E" w:rsidR="00394257" w:rsidRPr="00E040D1" w:rsidRDefault="00360C11"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1</w:t>
      </w:r>
      <w:r w:rsidR="00146C74" w:rsidRPr="00E040D1">
        <w:rPr>
          <w:rFonts w:asciiTheme="majorBidi" w:hAnsiTheme="majorBidi" w:cstheme="majorBidi"/>
          <w:sz w:val="24"/>
          <w:szCs w:val="24"/>
        </w:rPr>
        <w:t>8-</w:t>
      </w:r>
      <w:r w:rsidR="00394257" w:rsidRPr="00E040D1">
        <w:rPr>
          <w:rFonts w:asciiTheme="majorBidi" w:hAnsiTheme="majorBidi" w:cstheme="majorBidi"/>
          <w:sz w:val="24"/>
          <w:szCs w:val="24"/>
        </w:rPr>
        <w:t>Yuen CK, Lam JY, Wong WM, Mak LF, Wang X, Chu H, Cai JP, Jin DY, To KK, Chan JF, Yuen KY, Kok KH. SARS-CoV-2 nsp13, nsp14, nsp15 and orf6 function as potent interferon antagonists. Emerg Microbes Infect. 2020 1Dec;9(1):1418-1428.</w:t>
      </w:r>
    </w:p>
    <w:p w14:paraId="50B68DD6" w14:textId="78471EC7" w:rsidR="00394257" w:rsidRPr="00E040D1" w:rsidRDefault="00360C11"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19</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Cain DW, Cidlowski JA. Immune regulation by glucocorticoids. Nat Rev Immunol. 2017 Apr;17(4):233-247.</w:t>
      </w:r>
    </w:p>
    <w:p w14:paraId="7F3CC8DB" w14:textId="04BE2461" w:rsidR="00394257" w:rsidRPr="00E040D1" w:rsidRDefault="00360C11"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20-</w:t>
      </w:r>
      <w:r w:rsidR="00FD4AF9" w:rsidRPr="00E040D1">
        <w:rPr>
          <w:rFonts w:asciiTheme="majorBidi" w:hAnsiTheme="majorBidi" w:cstheme="majorBidi"/>
          <w:color w:val="303030"/>
          <w:sz w:val="24"/>
          <w:szCs w:val="24"/>
          <w:shd w:val="clear" w:color="auto" w:fill="FFFFFF"/>
        </w:rPr>
        <w:t>Herman JP, McKlveen JM, Ghosal S, Kopp B, Wulsin A, Makinson R, Scheimann J, Myers B. Regulation of the Hypothalamic-Pituitary-Adrenocortical Stress Response. Compr Physiol. 2016 Mar 15;6(2):603-21..</w:t>
      </w:r>
    </w:p>
    <w:p w14:paraId="6ED451E1" w14:textId="01494B04" w:rsidR="00FD4AF9" w:rsidRPr="00E040D1" w:rsidRDefault="009872EF" w:rsidP="00620AE2">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21-</w:t>
      </w:r>
      <w:r w:rsidR="00FD4AF9" w:rsidRPr="00E040D1">
        <w:rPr>
          <w:rFonts w:asciiTheme="majorBidi" w:hAnsiTheme="majorBidi" w:cstheme="majorBidi"/>
          <w:color w:val="303030"/>
          <w:sz w:val="24"/>
          <w:szCs w:val="24"/>
          <w:shd w:val="clear" w:color="auto" w:fill="FFFFFF"/>
        </w:rPr>
        <w:t xml:space="preserve">Ward LM. Glucocorticoid-Induced Osteoporosis: Why Kids Are Different. Front Endocrinol (Lausanne). 2020 Dec 16;11:576. </w:t>
      </w:r>
    </w:p>
    <w:p w14:paraId="59F2768A" w14:textId="5AD98BE5" w:rsidR="00394257" w:rsidRPr="00E040D1" w:rsidRDefault="009872EF" w:rsidP="00E040D1">
      <w:pPr>
        <w:spacing w:line="276" w:lineRule="auto"/>
        <w:ind w:left="270" w:hanging="270"/>
        <w:contextualSpacing/>
        <w:jc w:val="both"/>
        <w:rPr>
          <w:rFonts w:asciiTheme="majorBidi" w:hAnsiTheme="majorBidi" w:cstheme="majorBidi"/>
          <w:sz w:val="24"/>
          <w:szCs w:val="24"/>
          <w:shd w:val="clear" w:color="auto" w:fill="FFFFFF"/>
        </w:rPr>
      </w:pPr>
      <w:r w:rsidRPr="00E040D1">
        <w:rPr>
          <w:rFonts w:asciiTheme="majorBidi" w:eastAsia="Times New Roman" w:hAnsiTheme="majorBidi" w:cstheme="majorBidi"/>
          <w:sz w:val="24"/>
          <w:szCs w:val="24"/>
        </w:rPr>
        <w:t>22</w:t>
      </w:r>
      <w:r w:rsidR="00146C74" w:rsidRPr="00E040D1">
        <w:rPr>
          <w:rFonts w:asciiTheme="majorBidi" w:eastAsia="Times New Roman" w:hAnsiTheme="majorBidi" w:cstheme="majorBidi"/>
          <w:sz w:val="24"/>
          <w:szCs w:val="24"/>
        </w:rPr>
        <w:t>-</w:t>
      </w:r>
      <w:r w:rsidR="00394257" w:rsidRPr="00E040D1">
        <w:rPr>
          <w:rFonts w:asciiTheme="majorBidi" w:eastAsia="Times New Roman" w:hAnsiTheme="majorBidi" w:cstheme="majorBidi"/>
          <w:sz w:val="24"/>
          <w:szCs w:val="24"/>
        </w:rPr>
        <w:t>Walker JJ, Spiga F, Gupta R, Zhao Z, Lightman SL, Terry JR</w:t>
      </w:r>
      <w:r w:rsidR="00394257" w:rsidRPr="00E040D1">
        <w:rPr>
          <w:rFonts w:asciiTheme="majorBidi" w:eastAsia="Times New Roman" w:hAnsiTheme="majorBidi" w:cstheme="majorBidi"/>
          <w:sz w:val="24"/>
          <w:szCs w:val="24"/>
          <w:shd w:val="clear" w:color="auto" w:fill="FFFFFF"/>
        </w:rPr>
        <w:t xml:space="preserve"> Rapid intra-adrenal feedback regulation of </w:t>
      </w:r>
      <w:r w:rsidR="00394257" w:rsidRPr="00E040D1">
        <w:rPr>
          <w:rFonts w:asciiTheme="majorBidi" w:eastAsia="Times New Roman" w:hAnsiTheme="majorBidi" w:cstheme="majorBidi"/>
          <w:sz w:val="24"/>
          <w:szCs w:val="24"/>
          <w:shd w:val="clear" w:color="auto" w:fill="FFFFFF"/>
        </w:rPr>
        <w:lastRenderedPageBreak/>
        <w:t>glucocorticoid synthesis</w:t>
      </w:r>
      <w:r w:rsidR="00394257" w:rsidRPr="00E040D1">
        <w:rPr>
          <w:rFonts w:asciiTheme="majorBidi" w:eastAsia="Times New Roman" w:hAnsiTheme="majorBidi" w:cstheme="majorBidi"/>
          <w:sz w:val="24"/>
          <w:szCs w:val="24"/>
        </w:rPr>
        <w:t>. J R Soc Interface. 2015 Jan 6; 12(102):20140875</w:t>
      </w:r>
    </w:p>
    <w:p w14:paraId="45BA6513" w14:textId="7E1C9505" w:rsidR="00394257" w:rsidRPr="00E040D1" w:rsidRDefault="009872EF"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shd w:val="clear" w:color="auto" w:fill="FFFFFF"/>
        </w:rPr>
        <w:t>23</w:t>
      </w:r>
      <w:r w:rsidR="00146C74" w:rsidRPr="00E040D1">
        <w:rPr>
          <w:rFonts w:asciiTheme="majorBidi" w:hAnsiTheme="majorBidi" w:cstheme="majorBidi"/>
          <w:sz w:val="24"/>
          <w:szCs w:val="24"/>
          <w:shd w:val="clear" w:color="auto" w:fill="FFFFFF"/>
        </w:rPr>
        <w:t>-</w:t>
      </w:r>
      <w:r w:rsidR="00394257" w:rsidRPr="00E040D1">
        <w:rPr>
          <w:rFonts w:asciiTheme="majorBidi" w:hAnsiTheme="majorBidi" w:cstheme="majorBidi"/>
          <w:sz w:val="24"/>
          <w:szCs w:val="24"/>
          <w:shd w:val="clear" w:color="auto" w:fill="FFFFFF"/>
        </w:rPr>
        <w:t>Wagner C, Griesel M, Mikolajewska A, Mueller A, Nothacker M, Kley K, Metzendorf MI, Fischer AL, Kopp M, Stegemann M, Skoetz N, Fichtner F. Systemic corticosteroids for the treatment of COVID-19. Cochrane Database Syst Rev. 2021 Aug 16;8(8):CD014963</w:t>
      </w:r>
      <w:r w:rsidR="00394257" w:rsidRPr="00E040D1">
        <w:rPr>
          <w:rFonts w:asciiTheme="majorBidi" w:hAnsiTheme="majorBidi" w:cstheme="majorBidi"/>
          <w:sz w:val="24"/>
          <w:szCs w:val="24"/>
        </w:rPr>
        <w:t>.</w:t>
      </w:r>
    </w:p>
    <w:p w14:paraId="1AC454AF" w14:textId="2C372474" w:rsidR="00394257" w:rsidRPr="00E040D1" w:rsidRDefault="009872EF"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24</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Diamond M, Peniston HL, Sanghavi D, et al. acute respiratory distress syndrome. [Updated 2021 Nov 9]. In: StatPearls [Internet]. Treasure Island (FL): StatPearls Publishing; 2022 Jan</w:t>
      </w:r>
    </w:p>
    <w:p w14:paraId="78F17BB0" w14:textId="2324DCFC" w:rsidR="00394257" w:rsidRPr="00E040D1" w:rsidRDefault="009872EF"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25</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 xml:space="preserve">Gajic O, Dabbagh O, Park PK, Adesanya Aet al. Critical Illness, and Injury Trials Group: Lung Injury Prevention Study Investigators (USCIITG-LIPS). Early identification of patients at risk of acute lung injury: evaluation of lung injury prediction score in a multicenter cohort study. Am J Respir Crit Care Med. 2011 Feb 15;183(4):462-70. </w:t>
      </w:r>
    </w:p>
    <w:p w14:paraId="6322FF07" w14:textId="625442B2" w:rsidR="00394257" w:rsidRPr="00E040D1" w:rsidRDefault="009872EF" w:rsidP="00E040D1">
      <w:pPr>
        <w:tabs>
          <w:tab w:val="left" w:pos="3510"/>
        </w:tabs>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26</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Meyer NJ, Christie JD. Genetic heterogeneity and risk of acute respiratory distress syndrome. Semin Respir Crit Care Med. 2013 Aug;34(4):459-74</w:t>
      </w:r>
    </w:p>
    <w:p w14:paraId="509EA58E" w14:textId="1EA53AAE" w:rsidR="00394257" w:rsidRPr="00E040D1" w:rsidRDefault="009872EF"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27</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Shrestha GS, Khanal S, Sharma S, Nepal G. COVID-19: Current Understanding of Pathophysiology. J Nepal Health Res Counc. 2020 Nov 13;18(3):351-359.</w:t>
      </w:r>
    </w:p>
    <w:p w14:paraId="714215A5" w14:textId="517293D1" w:rsidR="00394257" w:rsidRPr="00E040D1" w:rsidRDefault="009872EF"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28</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 xml:space="preserve">Sharma NS, Lal CV, Li JD, Lou XY, Viera L, Abdallah T, King RW, Sethi J, Kanagarajah P, Restrepo-Jaramillo R, Sales-Conniff A, Wei S, Jackson PL, Blalock JE, Gaggar A, Xu X. The neutrophil chemoattractant peptide proline-glycine-proline is associated with acute respiratory distress syndrome. Am J </w:t>
      </w:r>
      <w:r w:rsidR="00394257" w:rsidRPr="00E040D1">
        <w:rPr>
          <w:rFonts w:asciiTheme="majorBidi" w:hAnsiTheme="majorBidi" w:cstheme="majorBidi"/>
          <w:sz w:val="24"/>
          <w:szCs w:val="24"/>
        </w:rPr>
        <w:lastRenderedPageBreak/>
        <w:t>Physiol Lung Cell Mol Physiol. 2018 Nov 01;315(5): L653-L661</w:t>
      </w:r>
    </w:p>
    <w:p w14:paraId="0F454BB6" w14:textId="57894C23" w:rsidR="00394257" w:rsidRPr="00E040D1" w:rsidRDefault="009872EF"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29</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Thompson BT, Chambers RC, Liu KD. Acute Respiratory Distress Syndrome. N Engl J Med. 2017 Aug 10;377(6):562-57290-Rawal G, Yadav S, Kumar R. Acute Respiratory Distress Syndrome: An Update and Review. J Transl Int Med. 2018 Jun;6(2):74-77</w:t>
      </w:r>
    </w:p>
    <w:p w14:paraId="34CF9995" w14:textId="77777777" w:rsidR="009872EF" w:rsidRPr="00E040D1" w:rsidRDefault="009872EF"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30</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 xml:space="preserve">Huang D, Ma H, Xiao Z, Blaivas M, Chen Y, Wen J, Guo W, Liang J, Liao X, Wang Z, Li H, Li J, Chao Y, Wang XT, Wu Y, Qin T, Su K, Wang S, Tan N. Diagnostic value of cardiopulmonary ultrasound in elderly patients with acute respiratory distress syndrome. BMC Pulm Med. 2018 </w:t>
      </w:r>
      <w:r w:rsidRPr="00E040D1">
        <w:rPr>
          <w:rFonts w:asciiTheme="majorBidi" w:hAnsiTheme="majorBidi" w:cstheme="majorBidi"/>
          <w:sz w:val="24"/>
          <w:szCs w:val="24"/>
        </w:rPr>
        <w:t>Aug 13;18(1):136.</w:t>
      </w:r>
    </w:p>
    <w:p w14:paraId="04881853" w14:textId="0DC18221" w:rsidR="00394257" w:rsidRPr="00E040D1" w:rsidRDefault="009872EF"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31</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Rawal G, Yadav S, Kumar R. Acute Respiratory Distress Syndrome: An Update and Review. J Transl Int Med. 2018 Jun;6(2):74-77.</w:t>
      </w:r>
    </w:p>
    <w:p w14:paraId="7419CB71" w14:textId="5F97B399" w:rsidR="00394257" w:rsidRPr="00E040D1" w:rsidRDefault="009872EF"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32</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Fan E, Del Sorbo L, Goligher EC, Hodgson CL, Munshi L, et al. American Thoracic Society, European Society of Intensive Care Medicine, and Society of Critical Care Medicine. An Official American Thoracic Society/European Society of Intensive Care Medicine/Society of Critical Care Medicine Clinical Practice Guideline: Mechanical Ventilation in Adult Patients with Acute Respiratory Distress Syndrome. Am J Respir Crit Care Med. 2017 May 01;195(9):1253-1263.</w:t>
      </w:r>
    </w:p>
    <w:p w14:paraId="1C9E9D19" w14:textId="21A90321" w:rsidR="00394257" w:rsidRPr="00E040D1" w:rsidRDefault="009872EF"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33</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 xml:space="preserve">Gadre SK, Duggal A, Mireles-Cabodevila E, Krishnan S, Wang XF, Zell K, Guzman J. Acute respiratory failure requiring mechanical ventilation in severe chronic obstructive pulmonary disease </w:t>
      </w:r>
      <w:r w:rsidR="00394257" w:rsidRPr="00E040D1">
        <w:rPr>
          <w:rFonts w:asciiTheme="majorBidi" w:hAnsiTheme="majorBidi" w:cstheme="majorBidi"/>
          <w:sz w:val="24"/>
          <w:szCs w:val="24"/>
        </w:rPr>
        <w:lastRenderedPageBreak/>
        <w:t>(COPD). Medicine (Baltimore). 2018 Apr;97(17):e0487.</w:t>
      </w:r>
    </w:p>
    <w:p w14:paraId="179961B1" w14:textId="77B10321" w:rsidR="00394257" w:rsidRPr="00E040D1" w:rsidRDefault="009872EF" w:rsidP="00E040D1">
      <w:pPr>
        <w:tabs>
          <w:tab w:val="left" w:pos="3510"/>
        </w:tabs>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34</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Tzotzos SJ, Fischer B, Fischer H, Zeitlinger M. Incidence of ARDS and outcomes in hospitalized patients with COVID-19: a global literature survey. Crit Care. 2020;24(1):1–4</w:t>
      </w:r>
      <w:r w:rsidR="00404679" w:rsidRPr="00E040D1">
        <w:rPr>
          <w:rFonts w:asciiTheme="majorBidi" w:hAnsiTheme="majorBidi" w:cstheme="majorBidi"/>
          <w:sz w:val="24"/>
          <w:szCs w:val="24"/>
        </w:rPr>
        <w:t>.</w:t>
      </w:r>
    </w:p>
    <w:p w14:paraId="72458037" w14:textId="06689E24" w:rsidR="00394257" w:rsidRPr="00E040D1" w:rsidRDefault="009872EF" w:rsidP="00E040D1">
      <w:pPr>
        <w:tabs>
          <w:tab w:val="left" w:pos="3510"/>
        </w:tabs>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35</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Bain W, Yang H, Shah FA, Suber T, Drohan C, Al-Yousif N, et al. COVID-19 versus non–COVID-19 acute respiratory distress syndrome: comparison of demographics, physiologic parameters, inflammatory biomarkers, and clinical outcomes. Ann Am Thoracic Soc. 2021;18(7):1202.</w:t>
      </w:r>
    </w:p>
    <w:p w14:paraId="6F54B1AB" w14:textId="06A33209" w:rsidR="00394257" w:rsidRPr="00E040D1" w:rsidRDefault="009872EF"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36</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Shimizu Y. Understanding the immunopathogenesis of COVID-19: its implication for therapeutic strategy. World J Clin Cases. 2020;8(23):5835.</w:t>
      </w:r>
    </w:p>
    <w:p w14:paraId="1F30D859" w14:textId="76D68278" w:rsidR="00394257" w:rsidRPr="00E040D1" w:rsidRDefault="009872EF" w:rsidP="00E040D1">
      <w:pPr>
        <w:tabs>
          <w:tab w:val="left" w:pos="3510"/>
        </w:tabs>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37</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Marini JJ, Gattinoni L. Management of COVID-19 respiratory distress. Jama. 2020;323(22):2329–30.</w:t>
      </w:r>
    </w:p>
    <w:p w14:paraId="2FE87F1D" w14:textId="3EBF1692" w:rsidR="00394257" w:rsidRPr="00E040D1" w:rsidRDefault="009872EF"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38</w:t>
      </w:r>
      <w:r w:rsidR="00146C74" w:rsidRPr="00E040D1">
        <w:rPr>
          <w:rFonts w:asciiTheme="majorBidi" w:hAnsiTheme="majorBidi" w:cstheme="majorBidi"/>
          <w:sz w:val="24"/>
          <w:szCs w:val="24"/>
        </w:rPr>
        <w:t>-</w:t>
      </w:r>
      <w:r w:rsidR="00394257" w:rsidRPr="00E040D1">
        <w:rPr>
          <w:rFonts w:asciiTheme="majorBidi" w:hAnsiTheme="majorBidi" w:cstheme="majorBidi"/>
          <w:sz w:val="24"/>
          <w:szCs w:val="24"/>
        </w:rPr>
        <w:t xml:space="preserve">Van Paassen J, Vos JS, Hoekstra EM, Neumann KM, Boot PC, Arbous SM. Corticosteroid use in COVID-19 patients: a systematic review and meta-analysis on clinical outcomes. Crit Care. 2020;24(1):1–22 </w:t>
      </w:r>
    </w:p>
    <w:p w14:paraId="05613888" w14:textId="75DB936A" w:rsidR="00394257" w:rsidRPr="00E040D1" w:rsidRDefault="009872EF" w:rsidP="00E040D1">
      <w:pPr>
        <w:spacing w:line="276" w:lineRule="auto"/>
        <w:ind w:left="270" w:hanging="270"/>
        <w:contextualSpacing/>
        <w:jc w:val="both"/>
        <w:rPr>
          <w:rFonts w:asciiTheme="majorBidi" w:eastAsia="Times New Roman" w:hAnsiTheme="majorBidi" w:cstheme="majorBidi"/>
          <w:sz w:val="24"/>
          <w:szCs w:val="24"/>
        </w:rPr>
      </w:pPr>
      <w:r w:rsidRPr="00E040D1">
        <w:rPr>
          <w:rFonts w:asciiTheme="majorBidi" w:eastAsia="Times New Roman" w:hAnsiTheme="majorBidi" w:cstheme="majorBidi"/>
          <w:sz w:val="24"/>
          <w:szCs w:val="24"/>
        </w:rPr>
        <w:t>39</w:t>
      </w:r>
      <w:r w:rsidR="001263A0" w:rsidRPr="00E040D1">
        <w:rPr>
          <w:rFonts w:asciiTheme="majorBidi" w:eastAsia="Times New Roman" w:hAnsiTheme="majorBidi" w:cstheme="majorBidi"/>
          <w:sz w:val="24"/>
          <w:szCs w:val="24"/>
        </w:rPr>
        <w:t>-</w:t>
      </w:r>
      <w:r w:rsidR="00394257" w:rsidRPr="00E040D1">
        <w:rPr>
          <w:rFonts w:asciiTheme="majorBidi" w:eastAsia="Times New Roman" w:hAnsiTheme="majorBidi" w:cstheme="majorBidi"/>
          <w:sz w:val="24"/>
          <w:szCs w:val="24"/>
        </w:rPr>
        <w:t>Villar J, Ferrando C, Martínez D, et al.: </w:t>
      </w:r>
      <w:hyperlink r:id="rId7" w:tgtFrame="_blank" w:history="1">
        <w:r w:rsidR="00394257" w:rsidRPr="00E040D1">
          <w:rPr>
            <w:rFonts w:asciiTheme="majorBidi" w:eastAsia="Times New Roman" w:hAnsiTheme="majorBidi" w:cstheme="majorBidi"/>
            <w:sz w:val="24"/>
            <w:szCs w:val="24"/>
          </w:rPr>
          <w:t>Dexamethasone treatment for the acute respiratory distress syndrome: a multicentre, randomised controlled trial</w:t>
        </w:r>
      </w:hyperlink>
      <w:r w:rsidR="00394257" w:rsidRPr="00E040D1">
        <w:rPr>
          <w:rFonts w:asciiTheme="majorBidi" w:eastAsia="Times New Roman" w:hAnsiTheme="majorBidi" w:cstheme="majorBidi"/>
          <w:sz w:val="24"/>
          <w:szCs w:val="24"/>
        </w:rPr>
        <w:t>. Lancet Respir Med. 2020, 8:267-276.</w:t>
      </w:r>
    </w:p>
    <w:p w14:paraId="6192B131" w14:textId="20DD5B0C" w:rsidR="00394257" w:rsidRPr="00E040D1" w:rsidRDefault="00D046DB" w:rsidP="00FC42F8">
      <w:pPr>
        <w:spacing w:line="276" w:lineRule="auto"/>
        <w:ind w:left="270" w:hanging="270"/>
        <w:contextualSpacing/>
        <w:jc w:val="both"/>
        <w:rPr>
          <w:rFonts w:asciiTheme="majorBidi" w:hAnsiTheme="majorBidi" w:cstheme="majorBidi"/>
          <w:sz w:val="24"/>
          <w:szCs w:val="24"/>
          <w:shd w:val="clear" w:color="auto" w:fill="FFFFFF"/>
        </w:rPr>
      </w:pPr>
      <w:r w:rsidRPr="00E040D1">
        <w:rPr>
          <w:rFonts w:asciiTheme="majorBidi" w:hAnsiTheme="majorBidi" w:cstheme="majorBidi"/>
          <w:sz w:val="24"/>
          <w:szCs w:val="24"/>
        </w:rPr>
        <w:t>40</w:t>
      </w:r>
      <w:r w:rsidR="001263A0" w:rsidRPr="00E040D1">
        <w:rPr>
          <w:rFonts w:asciiTheme="majorBidi" w:hAnsiTheme="majorBidi" w:cstheme="majorBidi"/>
          <w:sz w:val="24"/>
          <w:szCs w:val="24"/>
        </w:rPr>
        <w:t>-</w:t>
      </w:r>
      <w:r w:rsidRPr="00E040D1">
        <w:rPr>
          <w:rFonts w:asciiTheme="majorBidi" w:hAnsiTheme="majorBidi" w:cstheme="majorBidi"/>
          <w:sz w:val="24"/>
          <w:szCs w:val="24"/>
          <w:shd w:val="clear" w:color="auto" w:fill="FFFFFF"/>
        </w:rPr>
        <w:t>41</w:t>
      </w:r>
      <w:r w:rsidR="001263A0" w:rsidRPr="00E040D1">
        <w:rPr>
          <w:rFonts w:asciiTheme="majorBidi" w:hAnsiTheme="majorBidi" w:cstheme="majorBidi"/>
          <w:sz w:val="24"/>
          <w:szCs w:val="24"/>
          <w:shd w:val="clear" w:color="auto" w:fill="FFFFFF"/>
        </w:rPr>
        <w:t>-</w:t>
      </w:r>
      <w:r w:rsidR="00394257" w:rsidRPr="00E040D1">
        <w:rPr>
          <w:rFonts w:asciiTheme="majorBidi" w:hAnsiTheme="majorBidi" w:cstheme="majorBidi"/>
          <w:sz w:val="24"/>
          <w:szCs w:val="24"/>
          <w:shd w:val="clear" w:color="auto" w:fill="FFFFFF"/>
        </w:rPr>
        <w:t xml:space="preserve">Fatima SA, Asif M, Khan KA, Siddique N, Khan AZ. Comparison of efficacy of dexamethasone and methylprednisolone in moderate to severe covid 19 </w:t>
      </w:r>
      <w:r w:rsidR="009E40EE" w:rsidRPr="00E040D1">
        <w:rPr>
          <w:rFonts w:asciiTheme="majorBidi" w:hAnsiTheme="majorBidi" w:cstheme="majorBidi"/>
          <w:sz w:val="24"/>
          <w:szCs w:val="24"/>
          <w:shd w:val="clear" w:color="auto" w:fill="FFFFFF"/>
        </w:rPr>
        <w:t>diseases</w:t>
      </w:r>
      <w:r w:rsidR="00394257" w:rsidRPr="00E040D1">
        <w:rPr>
          <w:rFonts w:asciiTheme="majorBidi" w:hAnsiTheme="majorBidi" w:cstheme="majorBidi"/>
          <w:sz w:val="24"/>
          <w:szCs w:val="24"/>
          <w:shd w:val="clear" w:color="auto" w:fill="FFFFFF"/>
        </w:rPr>
        <w:t xml:space="preserve">. Ann Med Surg (Lond). 2020 </w:t>
      </w:r>
      <w:r w:rsidR="009E40EE" w:rsidRPr="00E040D1">
        <w:rPr>
          <w:rFonts w:asciiTheme="majorBidi" w:hAnsiTheme="majorBidi" w:cstheme="majorBidi"/>
          <w:sz w:val="24"/>
          <w:szCs w:val="24"/>
          <w:shd w:val="clear" w:color="auto" w:fill="FFFFFF"/>
        </w:rPr>
        <w:t>Dec; 60:413</w:t>
      </w:r>
      <w:r w:rsidR="00394257" w:rsidRPr="00E040D1">
        <w:rPr>
          <w:rFonts w:asciiTheme="majorBidi" w:hAnsiTheme="majorBidi" w:cstheme="majorBidi"/>
          <w:sz w:val="24"/>
          <w:szCs w:val="24"/>
          <w:shd w:val="clear" w:color="auto" w:fill="FFFFFF"/>
        </w:rPr>
        <w:t xml:space="preserve">-416. </w:t>
      </w:r>
    </w:p>
    <w:p w14:paraId="66376343" w14:textId="7E3D63DA" w:rsidR="00017D98" w:rsidRPr="00E040D1" w:rsidRDefault="000D4244" w:rsidP="00620AE2">
      <w:pPr>
        <w:spacing w:line="276" w:lineRule="auto"/>
        <w:ind w:left="270" w:hanging="270"/>
        <w:jc w:val="both"/>
        <w:rPr>
          <w:rFonts w:asciiTheme="majorBidi" w:hAnsiTheme="majorBidi" w:cstheme="majorBidi"/>
          <w:sz w:val="24"/>
          <w:szCs w:val="24"/>
        </w:rPr>
      </w:pPr>
      <w:r w:rsidRPr="00E040D1">
        <w:rPr>
          <w:rFonts w:asciiTheme="majorBidi" w:hAnsiTheme="majorBidi" w:cstheme="majorBidi"/>
          <w:sz w:val="24"/>
          <w:szCs w:val="24"/>
        </w:rPr>
        <w:lastRenderedPageBreak/>
        <w:t>4</w:t>
      </w:r>
      <w:r w:rsidR="00620AE2">
        <w:rPr>
          <w:rFonts w:asciiTheme="majorBidi" w:hAnsiTheme="majorBidi" w:cstheme="majorBidi"/>
          <w:sz w:val="24"/>
          <w:szCs w:val="24"/>
        </w:rPr>
        <w:t>1</w:t>
      </w:r>
      <w:r w:rsidR="006954B8" w:rsidRPr="00E040D1">
        <w:rPr>
          <w:rFonts w:asciiTheme="majorBidi" w:hAnsiTheme="majorBidi" w:cstheme="majorBidi"/>
          <w:sz w:val="24"/>
          <w:szCs w:val="24"/>
        </w:rPr>
        <w:t>-Michot JM, Albiges L, Chaput N, Saada V, Pommeret F, Griscelli F, Balleyguier C, Besse B, Marabelle A, Netzer F, Merad M, Robert C, Barlesi F, Gachot B, Stoclin A. Tocilizumab, an anti-IL-6 receptor antibody, to treat COVID-19-related respiratory failure: a case report. Ann Oncol. 2020 Jul;31(7):961-964.</w:t>
      </w:r>
    </w:p>
    <w:p w14:paraId="2D3D0089" w14:textId="0F19F7E9" w:rsidR="00620AE2" w:rsidRPr="00E040D1" w:rsidRDefault="000D4244" w:rsidP="00620AE2">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4</w:t>
      </w:r>
      <w:r w:rsidR="00620AE2">
        <w:rPr>
          <w:rFonts w:asciiTheme="majorBidi" w:hAnsiTheme="majorBidi" w:cstheme="majorBidi"/>
          <w:sz w:val="24"/>
          <w:szCs w:val="24"/>
        </w:rPr>
        <w:t>2</w:t>
      </w:r>
      <w:r w:rsidR="009E40EE" w:rsidRPr="00E040D1">
        <w:rPr>
          <w:rFonts w:asciiTheme="majorBidi" w:hAnsiTheme="majorBidi" w:cstheme="majorBidi"/>
          <w:sz w:val="24"/>
          <w:szCs w:val="24"/>
        </w:rPr>
        <w:t>-</w:t>
      </w:r>
      <w:r w:rsidR="00620AE2" w:rsidRPr="00620AE2">
        <w:rPr>
          <w:rFonts w:asciiTheme="majorBidi" w:hAnsiTheme="majorBidi" w:cstheme="majorBidi"/>
          <w:sz w:val="24"/>
          <w:szCs w:val="24"/>
        </w:rPr>
        <w:t xml:space="preserve"> </w:t>
      </w:r>
      <w:r w:rsidR="00620AE2" w:rsidRPr="00E040D1">
        <w:rPr>
          <w:rFonts w:asciiTheme="majorBidi" w:hAnsiTheme="majorBidi" w:cstheme="majorBidi"/>
          <w:sz w:val="24"/>
          <w:szCs w:val="24"/>
        </w:rPr>
        <w:t>Ranjbar K, Moghadami M, Mirahmadizadeh A, Fallahi MJ, Khaloo V, Shahriarirad R, et al. Methylprednisolone or dexamethasone, which one is superior corticosteroid in the treatment of hospitalized COVID-19 patients: a triple-blinded randomized controlled trial. BMC Infect Dis. 2021;21(1):1–8.</w:t>
      </w:r>
    </w:p>
    <w:p w14:paraId="2F2FE30F" w14:textId="72484F74" w:rsidR="009E40EE" w:rsidRPr="00E040D1" w:rsidRDefault="00620AE2" w:rsidP="00E040D1">
      <w:pPr>
        <w:spacing w:line="276" w:lineRule="auto"/>
        <w:ind w:left="270" w:hanging="270"/>
        <w:jc w:val="both"/>
        <w:rPr>
          <w:rFonts w:asciiTheme="majorBidi" w:hAnsiTheme="majorBidi" w:cstheme="majorBidi"/>
          <w:sz w:val="24"/>
          <w:szCs w:val="24"/>
        </w:rPr>
      </w:pPr>
      <w:r>
        <w:rPr>
          <w:rFonts w:asciiTheme="majorBidi" w:hAnsiTheme="majorBidi" w:cstheme="majorBidi"/>
          <w:sz w:val="24"/>
          <w:szCs w:val="24"/>
        </w:rPr>
        <w:t>43-</w:t>
      </w:r>
      <w:r w:rsidR="009E40EE" w:rsidRPr="00E040D1">
        <w:rPr>
          <w:rFonts w:asciiTheme="majorBidi" w:hAnsiTheme="majorBidi" w:cstheme="majorBidi"/>
          <w:sz w:val="24"/>
          <w:szCs w:val="24"/>
        </w:rPr>
        <w:t>Smith TRF, Patel A, Ramos S, Elwood D, Zhu X, et al.Immunogenicity of a DNA vaccine candidate for COVID-19. Nat Commun. 2020 May 20;11(1):2601.</w:t>
      </w:r>
    </w:p>
    <w:p w14:paraId="4FB56191" w14:textId="4E37924D" w:rsidR="009E40EE" w:rsidRPr="00E040D1" w:rsidRDefault="000D4244" w:rsidP="00E040D1">
      <w:pPr>
        <w:spacing w:line="276" w:lineRule="auto"/>
        <w:ind w:left="270" w:hanging="270"/>
        <w:jc w:val="both"/>
        <w:rPr>
          <w:rFonts w:asciiTheme="majorBidi" w:hAnsiTheme="majorBidi" w:cstheme="majorBidi"/>
          <w:sz w:val="24"/>
          <w:szCs w:val="24"/>
        </w:rPr>
      </w:pPr>
      <w:r w:rsidRPr="00E040D1">
        <w:rPr>
          <w:rFonts w:asciiTheme="majorBidi" w:hAnsiTheme="majorBidi" w:cstheme="majorBidi"/>
          <w:sz w:val="24"/>
          <w:szCs w:val="24"/>
        </w:rPr>
        <w:t>44</w:t>
      </w:r>
      <w:r w:rsidR="009E40EE" w:rsidRPr="00E040D1">
        <w:rPr>
          <w:rFonts w:asciiTheme="majorBidi" w:hAnsiTheme="majorBidi" w:cstheme="majorBidi"/>
          <w:sz w:val="24"/>
          <w:szCs w:val="24"/>
        </w:rPr>
        <w:t>-Pasquini Z, Montalti R, Temperoni C, Canovari B, Mancini M, Tempesta M, Pimpini D, Zallocco N, Barchiesi F. Effectiveness of remdesivir in patients with COVID-19 under mechanical ventilation in an Italian ICU. J Antimicrob Chemother. 2020 Nov 1;75(11):3359-3365</w:t>
      </w:r>
    </w:p>
    <w:p w14:paraId="06124060" w14:textId="122730BB" w:rsidR="00EF3EEF" w:rsidRPr="00E040D1" w:rsidRDefault="000D4244" w:rsidP="00E040D1">
      <w:pPr>
        <w:spacing w:line="276" w:lineRule="auto"/>
        <w:ind w:left="270" w:hanging="270"/>
        <w:jc w:val="both"/>
        <w:rPr>
          <w:rFonts w:asciiTheme="majorBidi" w:hAnsiTheme="majorBidi" w:cstheme="majorBidi"/>
          <w:sz w:val="24"/>
          <w:szCs w:val="24"/>
        </w:rPr>
      </w:pPr>
      <w:r w:rsidRPr="00E040D1">
        <w:rPr>
          <w:rFonts w:asciiTheme="majorBidi" w:hAnsiTheme="majorBidi" w:cstheme="majorBidi"/>
          <w:sz w:val="24"/>
          <w:szCs w:val="24"/>
        </w:rPr>
        <w:t>45</w:t>
      </w:r>
      <w:r w:rsidR="009E40EE" w:rsidRPr="00E040D1">
        <w:rPr>
          <w:rFonts w:asciiTheme="majorBidi" w:hAnsiTheme="majorBidi" w:cstheme="majorBidi"/>
          <w:sz w:val="24"/>
          <w:szCs w:val="24"/>
        </w:rPr>
        <w:t>-Fadel R, Morrison AR, Vahia A, Smith ZR, Chaudhry Z, Bhargava P, Miller J, Kenney RM, Alangaden G, Ramesh MS; Henry Ford COVID-19 Management Task Force. Early Short-Course Corticosteroids in Hospitalized Patients With COVID-19. Clin Infect Dis. 2020 Nov 19;71(16):2114-2120. </w:t>
      </w:r>
    </w:p>
    <w:p w14:paraId="0C5F0401" w14:textId="78822A32" w:rsidR="00EF3EEF" w:rsidRPr="00E040D1" w:rsidRDefault="000D4244" w:rsidP="00E040D1">
      <w:pPr>
        <w:spacing w:line="276" w:lineRule="auto"/>
        <w:ind w:left="270" w:hanging="270"/>
        <w:jc w:val="both"/>
        <w:rPr>
          <w:rFonts w:asciiTheme="majorBidi" w:hAnsiTheme="majorBidi" w:cstheme="majorBidi"/>
          <w:sz w:val="24"/>
          <w:szCs w:val="24"/>
        </w:rPr>
      </w:pPr>
      <w:r w:rsidRPr="00E040D1">
        <w:rPr>
          <w:rFonts w:asciiTheme="majorBidi" w:hAnsiTheme="majorBidi" w:cstheme="majorBidi"/>
          <w:sz w:val="24"/>
          <w:szCs w:val="24"/>
        </w:rPr>
        <w:lastRenderedPageBreak/>
        <w:t>46</w:t>
      </w:r>
      <w:r w:rsidR="00EF3EEF" w:rsidRPr="00E040D1">
        <w:rPr>
          <w:rFonts w:asciiTheme="majorBidi" w:hAnsiTheme="majorBidi" w:cstheme="majorBidi"/>
          <w:sz w:val="24"/>
          <w:szCs w:val="24"/>
        </w:rPr>
        <w:t>-</w:t>
      </w:r>
      <w:r w:rsidR="00394257" w:rsidRPr="00E040D1">
        <w:rPr>
          <w:rFonts w:asciiTheme="majorBidi" w:hAnsiTheme="majorBidi" w:cstheme="majorBidi"/>
          <w:sz w:val="24"/>
          <w:szCs w:val="24"/>
        </w:rPr>
        <w:t>Wu K, Werner AP, Moliva JI, Koch M, Choi A, Stewart-Jones GBE, Bennett H, Boyoglu-Barnum S, Shi W, Graham BS, Carfi A, Corbett KS, Seder RA, Edwards DK. mRNA-1273 vaccine induces neutralizing antibodies against spike mutants from global SARS-CoV-2 variants. bioRxiv. 2021 Jan 25</w:t>
      </w:r>
    </w:p>
    <w:p w14:paraId="573A0552" w14:textId="4DDCD135" w:rsidR="000D4244" w:rsidRPr="00E040D1" w:rsidRDefault="000D4244" w:rsidP="00E040D1">
      <w:pPr>
        <w:spacing w:line="276" w:lineRule="auto"/>
        <w:ind w:left="270" w:hanging="270"/>
        <w:contextualSpacing/>
        <w:jc w:val="both"/>
        <w:rPr>
          <w:rFonts w:asciiTheme="majorBidi" w:hAnsiTheme="majorBidi" w:cstheme="majorBidi"/>
          <w:sz w:val="24"/>
          <w:szCs w:val="24"/>
        </w:rPr>
      </w:pPr>
      <w:r w:rsidRPr="00E040D1">
        <w:rPr>
          <w:rFonts w:asciiTheme="majorBidi" w:hAnsiTheme="majorBidi" w:cstheme="majorBidi"/>
          <w:sz w:val="24"/>
          <w:szCs w:val="24"/>
        </w:rPr>
        <w:t>47-Cheng VCC, Wong SC, To KKW, Ho PL, Yuen KY Preparedness and proactive infection control measures against the emerging novel coronavirus in China. J Hosp Infect. 2020 Mar; 104(3):254-255</w:t>
      </w:r>
    </w:p>
    <w:p w14:paraId="573A1F19" w14:textId="6900E053" w:rsidR="00E950A3" w:rsidRPr="00E040D1" w:rsidRDefault="00E950A3" w:rsidP="00E040D1">
      <w:pPr>
        <w:spacing w:line="276" w:lineRule="auto"/>
        <w:ind w:left="270" w:hanging="270"/>
        <w:jc w:val="both"/>
        <w:rPr>
          <w:rFonts w:asciiTheme="majorBidi" w:hAnsiTheme="majorBidi" w:cstheme="majorBidi"/>
          <w:sz w:val="24"/>
          <w:szCs w:val="24"/>
        </w:rPr>
      </w:pPr>
      <w:r w:rsidRPr="00E040D1">
        <w:rPr>
          <w:rFonts w:asciiTheme="majorBidi" w:hAnsiTheme="majorBidi" w:cstheme="majorBidi"/>
          <w:sz w:val="24"/>
          <w:szCs w:val="24"/>
        </w:rPr>
        <w:t>48-Pinzón MA, Ortiz S, Holguín H, Betancur JF, Cardona Arango D, Laniado H, Arias Arias C, Muñoz B, Quiceno J, Jaramillo D, Ramirez Z. Dexamethasone vs methylprednisolone high dose for Covid-19 pneumonia. PLoS One. 2021 May 25;16(5):e0252057.</w:t>
      </w:r>
    </w:p>
    <w:p w14:paraId="104940D3" w14:textId="3F76A9C0" w:rsidR="000D4244" w:rsidRPr="00E040D1" w:rsidRDefault="00FD0DED" w:rsidP="00E040D1">
      <w:pPr>
        <w:spacing w:after="0" w:line="276" w:lineRule="auto"/>
        <w:ind w:left="270" w:hanging="270"/>
        <w:contextualSpacing/>
        <w:jc w:val="both"/>
        <w:rPr>
          <w:rFonts w:asciiTheme="majorBidi" w:eastAsia="Times New Roman" w:hAnsiTheme="majorBidi" w:cstheme="majorBidi"/>
          <w:sz w:val="24"/>
          <w:szCs w:val="24"/>
        </w:rPr>
      </w:pPr>
      <w:r w:rsidRPr="00E040D1">
        <w:rPr>
          <w:rFonts w:asciiTheme="majorBidi" w:eastAsia="Times New Roman" w:hAnsiTheme="majorBidi" w:cstheme="majorBidi"/>
          <w:sz w:val="24"/>
          <w:szCs w:val="24"/>
        </w:rPr>
        <w:lastRenderedPageBreak/>
        <w:t>49</w:t>
      </w:r>
      <w:r w:rsidR="000D4244" w:rsidRPr="00E040D1">
        <w:rPr>
          <w:rFonts w:asciiTheme="majorBidi" w:eastAsia="Times New Roman" w:hAnsiTheme="majorBidi" w:cstheme="majorBidi"/>
          <w:sz w:val="24"/>
          <w:szCs w:val="24"/>
        </w:rPr>
        <w:t>-Rana M A, Hashmi M, Qayyum A, et al. (October 12, 2020) Comparison of Efficacy of Dexamethasone and Methylprednisolone in Improving PaO2/FiO2 Ratio Among COVID-19 Patients. Cureus 12(10): e10918.</w:t>
      </w:r>
    </w:p>
    <w:p w14:paraId="06CF377C" w14:textId="48E63E47" w:rsidR="009E40EE" w:rsidRPr="00E040D1" w:rsidRDefault="00FD0DED" w:rsidP="00E040D1">
      <w:pPr>
        <w:spacing w:line="276" w:lineRule="auto"/>
        <w:ind w:left="270" w:hanging="270"/>
        <w:jc w:val="both"/>
        <w:rPr>
          <w:rFonts w:asciiTheme="majorBidi" w:hAnsiTheme="majorBidi" w:cstheme="majorBidi"/>
          <w:sz w:val="24"/>
          <w:szCs w:val="24"/>
        </w:rPr>
      </w:pPr>
      <w:r w:rsidRPr="00E040D1">
        <w:rPr>
          <w:rFonts w:asciiTheme="majorBidi" w:hAnsiTheme="majorBidi" w:cstheme="majorBidi"/>
          <w:sz w:val="24"/>
          <w:szCs w:val="24"/>
        </w:rPr>
        <w:t>50</w:t>
      </w:r>
      <w:r w:rsidR="009E40EE" w:rsidRPr="00E040D1">
        <w:rPr>
          <w:rFonts w:asciiTheme="majorBidi" w:hAnsiTheme="majorBidi" w:cstheme="majorBidi"/>
          <w:sz w:val="24"/>
          <w:szCs w:val="24"/>
        </w:rPr>
        <w:t>-Ko JJ, Wu C, Mehta N, Wald-Dickler N, Yang W, Qiao R. A Comparison of Methylprednisolone and Dexamethasone in Intensive Care Patients With COVID-19. J Intensive Care Med. 2021 Jun;36(6):673-680</w:t>
      </w:r>
    </w:p>
    <w:p w14:paraId="289799F0" w14:textId="54898832" w:rsidR="00394257" w:rsidRPr="00E040D1" w:rsidRDefault="00FD0DED" w:rsidP="00EF21FE">
      <w:pPr>
        <w:spacing w:line="276" w:lineRule="auto"/>
        <w:ind w:left="270" w:hanging="270"/>
        <w:jc w:val="both"/>
        <w:rPr>
          <w:rFonts w:asciiTheme="majorBidi" w:hAnsiTheme="majorBidi" w:cstheme="majorBidi"/>
          <w:sz w:val="24"/>
          <w:szCs w:val="24"/>
        </w:rPr>
      </w:pPr>
      <w:r w:rsidRPr="00E040D1">
        <w:rPr>
          <w:rFonts w:asciiTheme="majorBidi" w:hAnsiTheme="majorBidi" w:cstheme="majorBidi"/>
          <w:sz w:val="24"/>
          <w:szCs w:val="24"/>
        </w:rPr>
        <w:t>51</w:t>
      </w:r>
      <w:r w:rsidR="00394257" w:rsidRPr="00E040D1">
        <w:rPr>
          <w:rFonts w:asciiTheme="majorBidi" w:hAnsiTheme="majorBidi" w:cstheme="majorBidi"/>
          <w:sz w:val="24"/>
          <w:szCs w:val="24"/>
        </w:rPr>
        <w:t>-Du Plessis EM, Lalla U, Allwood BW, Louw EH, Nortje A, Parker A, Taljaard JJ, Ayele BT, Nyasulu PS, Koegelenberg CFN. Corticosteroids in critical COVID-19: Are all corticosteroids equal? S Afr Med J. 2021 Apr 6;111(6):550-553.</w:t>
      </w:r>
    </w:p>
    <w:p w14:paraId="461BE100" w14:textId="77777777" w:rsidR="00AB14AA" w:rsidRPr="00E040D1" w:rsidRDefault="00AB14AA" w:rsidP="00E040D1">
      <w:pPr>
        <w:spacing w:line="276" w:lineRule="auto"/>
        <w:rPr>
          <w:rFonts w:asciiTheme="majorBidi" w:hAnsiTheme="majorBidi" w:cstheme="majorBidi"/>
          <w:sz w:val="24"/>
          <w:szCs w:val="24"/>
        </w:rPr>
        <w:sectPr w:rsidR="00AB14AA" w:rsidRPr="00E040D1" w:rsidSect="00B7496A">
          <w:type w:val="continuous"/>
          <w:pgSz w:w="12240" w:h="15840"/>
          <w:pgMar w:top="1440" w:right="1440" w:bottom="1440" w:left="1440" w:header="720" w:footer="720" w:gutter="0"/>
          <w:cols w:num="2" w:space="720"/>
          <w:docGrid w:linePitch="360"/>
        </w:sectPr>
      </w:pPr>
    </w:p>
    <w:p w14:paraId="75E7E943" w14:textId="77777777" w:rsidR="00017D98" w:rsidRPr="00E040D1" w:rsidRDefault="00017D98" w:rsidP="00E040D1">
      <w:pPr>
        <w:spacing w:line="276" w:lineRule="auto"/>
        <w:rPr>
          <w:rFonts w:asciiTheme="majorBidi" w:hAnsiTheme="majorBidi" w:cstheme="majorBidi"/>
          <w:sz w:val="24"/>
          <w:szCs w:val="24"/>
        </w:rPr>
      </w:pPr>
    </w:p>
    <w:p w14:paraId="2CD2F8CF" w14:textId="77777777" w:rsidR="00B7496A" w:rsidRPr="00E040D1" w:rsidRDefault="00B7496A" w:rsidP="00E040D1">
      <w:pPr>
        <w:pStyle w:val="BodyText"/>
        <w:spacing w:before="198" w:line="276" w:lineRule="auto"/>
        <w:ind w:right="953"/>
        <w:jc w:val="both"/>
        <w:rPr>
          <w:rFonts w:asciiTheme="majorBidi" w:hAnsiTheme="majorBidi" w:cstheme="majorBidi"/>
          <w:b/>
          <w:bCs/>
          <w:sz w:val="24"/>
          <w:szCs w:val="24"/>
        </w:rPr>
        <w:sectPr w:rsidR="00B7496A" w:rsidRPr="00E040D1" w:rsidSect="00B7496A">
          <w:type w:val="continuous"/>
          <w:pgSz w:w="12240" w:h="15840"/>
          <w:pgMar w:top="1440" w:right="1440" w:bottom="1440" w:left="1440" w:header="720" w:footer="720" w:gutter="0"/>
          <w:cols w:num="2" w:space="720"/>
          <w:docGrid w:linePitch="360"/>
        </w:sectPr>
      </w:pPr>
    </w:p>
    <w:p w14:paraId="57ED99A5" w14:textId="3558DAE9" w:rsidR="006378DF" w:rsidRPr="00E040D1" w:rsidRDefault="006378DF" w:rsidP="00E040D1">
      <w:pPr>
        <w:pStyle w:val="BodyText"/>
        <w:spacing w:before="198" w:line="276" w:lineRule="auto"/>
        <w:ind w:right="953"/>
        <w:jc w:val="both"/>
        <w:rPr>
          <w:rFonts w:asciiTheme="majorBidi" w:hAnsiTheme="majorBidi" w:cstheme="majorBidi"/>
          <w:b/>
          <w:bCs/>
          <w:sz w:val="24"/>
          <w:szCs w:val="24"/>
        </w:rPr>
      </w:pPr>
    </w:p>
    <w:p w14:paraId="41B7A90D" w14:textId="77777777" w:rsidR="00427926" w:rsidRPr="00E040D1" w:rsidRDefault="00427926" w:rsidP="00E040D1">
      <w:pPr>
        <w:pStyle w:val="BodyText"/>
        <w:spacing w:before="198" w:line="276" w:lineRule="auto"/>
        <w:ind w:right="953"/>
        <w:jc w:val="both"/>
        <w:rPr>
          <w:rFonts w:asciiTheme="majorBidi" w:hAnsiTheme="majorBidi" w:cstheme="majorBidi"/>
          <w:b/>
          <w:bCs/>
          <w:sz w:val="24"/>
          <w:szCs w:val="24"/>
        </w:rPr>
      </w:pPr>
    </w:p>
    <w:p w14:paraId="75B1C196" w14:textId="77777777" w:rsidR="00427926" w:rsidRPr="00E040D1" w:rsidRDefault="00427926" w:rsidP="00E040D1">
      <w:pPr>
        <w:spacing w:line="276" w:lineRule="auto"/>
        <w:rPr>
          <w:rFonts w:asciiTheme="majorBidi" w:hAnsiTheme="majorBidi" w:cstheme="majorBidi"/>
          <w:b/>
          <w:bCs/>
          <w:sz w:val="24"/>
          <w:szCs w:val="24"/>
          <w:lang w:bidi="ar-EG"/>
        </w:rPr>
      </w:pPr>
      <w:r w:rsidRPr="00E040D1">
        <w:rPr>
          <w:rFonts w:asciiTheme="majorBidi" w:hAnsiTheme="majorBidi" w:cstheme="majorBidi"/>
          <w:b/>
          <w:bCs/>
          <w:sz w:val="24"/>
          <w:szCs w:val="24"/>
          <w:lang w:bidi="ar-EG"/>
        </w:rPr>
        <w:br w:type="page"/>
      </w:r>
    </w:p>
    <w:p w14:paraId="6BA8FD20" w14:textId="49BD13EA" w:rsidR="00427926" w:rsidRPr="00E040D1" w:rsidRDefault="00427926" w:rsidP="00E040D1">
      <w:pPr>
        <w:tabs>
          <w:tab w:val="right" w:pos="284"/>
          <w:tab w:val="left" w:pos="3572"/>
          <w:tab w:val="left" w:pos="8170"/>
        </w:tabs>
        <w:spacing w:line="276" w:lineRule="auto"/>
        <w:jc w:val="lowKashida"/>
        <w:rPr>
          <w:rFonts w:asciiTheme="majorBidi" w:hAnsiTheme="majorBidi" w:cstheme="majorBidi"/>
          <w:b/>
          <w:bCs/>
          <w:sz w:val="24"/>
          <w:szCs w:val="24"/>
          <w:lang w:bidi="ar-EG"/>
        </w:rPr>
      </w:pPr>
      <w:r w:rsidRPr="00E040D1">
        <w:rPr>
          <w:rFonts w:asciiTheme="majorBidi" w:hAnsiTheme="majorBidi" w:cstheme="majorBidi"/>
          <w:b/>
          <w:bCs/>
          <w:sz w:val="24"/>
          <w:szCs w:val="24"/>
          <w:lang w:bidi="ar-EG"/>
        </w:rPr>
        <w:lastRenderedPageBreak/>
        <w:t xml:space="preserve">Table 1. Comparison of PH, </w:t>
      </w:r>
      <w:r w:rsidRPr="00E040D1">
        <w:rPr>
          <w:rFonts w:asciiTheme="majorBidi" w:hAnsiTheme="majorBidi" w:cstheme="majorBidi"/>
          <w:b/>
          <w:bCs/>
          <w:sz w:val="24"/>
          <w:szCs w:val="24"/>
        </w:rPr>
        <w:t>PaCO</w:t>
      </w:r>
      <w:r w:rsidRPr="00E040D1">
        <w:rPr>
          <w:rFonts w:asciiTheme="majorBidi" w:hAnsiTheme="majorBidi" w:cstheme="majorBidi"/>
          <w:b/>
          <w:bCs/>
          <w:sz w:val="24"/>
          <w:szCs w:val="24"/>
          <w:vertAlign w:val="subscript"/>
        </w:rPr>
        <w:t xml:space="preserve">2 and  </w:t>
      </w:r>
      <w:r w:rsidRPr="00E040D1">
        <w:rPr>
          <w:rFonts w:asciiTheme="majorBidi" w:hAnsiTheme="majorBidi" w:cstheme="majorBidi"/>
          <w:b/>
          <w:bCs/>
          <w:sz w:val="24"/>
          <w:szCs w:val="24"/>
        </w:rPr>
        <w:t>PaO</w:t>
      </w:r>
      <w:r w:rsidRPr="00E040D1">
        <w:rPr>
          <w:rFonts w:asciiTheme="majorBidi" w:hAnsiTheme="majorBidi" w:cstheme="majorBidi"/>
          <w:b/>
          <w:bCs/>
          <w:sz w:val="24"/>
          <w:szCs w:val="24"/>
          <w:vertAlign w:val="subscript"/>
        </w:rPr>
        <w:t>2</w:t>
      </w:r>
      <w:r w:rsidRPr="00E040D1">
        <w:rPr>
          <w:rFonts w:asciiTheme="majorBidi" w:hAnsiTheme="majorBidi" w:cstheme="majorBidi"/>
          <w:b/>
          <w:bCs/>
          <w:sz w:val="24"/>
          <w:szCs w:val="24"/>
          <w:lang w:bidi="ar-EG"/>
        </w:rPr>
        <w:t xml:space="preserve"> at different follow up points among studied groups.</w:t>
      </w:r>
    </w:p>
    <w:tbl>
      <w:tblPr>
        <w:tblStyle w:val="PlainTable2"/>
        <w:tblW w:w="5000" w:type="pct"/>
        <w:tblLook w:val="04A0" w:firstRow="1" w:lastRow="0" w:firstColumn="1" w:lastColumn="0" w:noHBand="0" w:noVBand="1"/>
      </w:tblPr>
      <w:tblGrid>
        <w:gridCol w:w="1063"/>
        <w:gridCol w:w="2282"/>
        <w:gridCol w:w="2301"/>
        <w:gridCol w:w="2301"/>
        <w:gridCol w:w="1413"/>
      </w:tblGrid>
      <w:tr w:rsidR="0030369A" w:rsidRPr="00E040D1" w14:paraId="21FE64E9" w14:textId="77777777" w:rsidTr="005361A7">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68" w:type="pct"/>
          </w:tcPr>
          <w:p w14:paraId="4D03AE75" w14:textId="77777777" w:rsidR="00427926" w:rsidRPr="00E040D1" w:rsidRDefault="00427926" w:rsidP="00E040D1">
            <w:pPr>
              <w:spacing w:line="276" w:lineRule="auto"/>
              <w:rPr>
                <w:rFonts w:asciiTheme="majorBidi" w:hAnsiTheme="majorBidi" w:cstheme="majorBidi"/>
                <w:sz w:val="24"/>
                <w:szCs w:val="24"/>
              </w:rPr>
            </w:pPr>
          </w:p>
        </w:tc>
        <w:tc>
          <w:tcPr>
            <w:tcW w:w="1219" w:type="pct"/>
          </w:tcPr>
          <w:p w14:paraId="2148A5D5" w14:textId="77777777" w:rsidR="00427926" w:rsidRPr="00E040D1" w:rsidRDefault="00427926" w:rsidP="00E040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229" w:type="pct"/>
          </w:tcPr>
          <w:p w14:paraId="7B0EA25C" w14:textId="77777777" w:rsidR="00427926" w:rsidRPr="00E040D1" w:rsidRDefault="00427926" w:rsidP="00E040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Group DEX</w:t>
            </w:r>
          </w:p>
        </w:tc>
        <w:tc>
          <w:tcPr>
            <w:tcW w:w="1229" w:type="pct"/>
          </w:tcPr>
          <w:p w14:paraId="7B779649" w14:textId="77777777" w:rsidR="00427926" w:rsidRPr="00E040D1" w:rsidRDefault="00427926" w:rsidP="00E040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Group SOL</w:t>
            </w:r>
          </w:p>
        </w:tc>
        <w:tc>
          <w:tcPr>
            <w:tcW w:w="755" w:type="pct"/>
          </w:tcPr>
          <w:p w14:paraId="35CD59E5" w14:textId="77777777" w:rsidR="00427926" w:rsidRPr="00E040D1" w:rsidRDefault="00427926" w:rsidP="00E040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i/>
                <w:sz w:val="24"/>
                <w:szCs w:val="24"/>
              </w:rPr>
              <w:t>p</w:t>
            </w:r>
            <w:r w:rsidRPr="00E040D1">
              <w:rPr>
                <w:rFonts w:asciiTheme="majorBidi" w:hAnsiTheme="majorBidi" w:cstheme="majorBidi"/>
                <w:sz w:val="24"/>
                <w:szCs w:val="24"/>
              </w:rPr>
              <w:t>-value</w:t>
            </w:r>
          </w:p>
        </w:tc>
      </w:tr>
      <w:tr w:rsidR="0030369A" w:rsidRPr="00E040D1" w14:paraId="1E84511E" w14:textId="77777777" w:rsidTr="005361A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68" w:type="pct"/>
            <w:vMerge w:val="restart"/>
          </w:tcPr>
          <w:p w14:paraId="3771F365" w14:textId="77777777" w:rsidR="00427926" w:rsidRPr="00E040D1" w:rsidRDefault="00427926" w:rsidP="00E040D1">
            <w:pPr>
              <w:spacing w:line="276" w:lineRule="auto"/>
              <w:rPr>
                <w:rFonts w:asciiTheme="majorBidi" w:hAnsiTheme="majorBidi" w:cstheme="majorBidi"/>
                <w:sz w:val="24"/>
                <w:szCs w:val="24"/>
              </w:rPr>
            </w:pPr>
            <w:r w:rsidRPr="00E040D1">
              <w:rPr>
                <w:rFonts w:asciiTheme="majorBidi" w:hAnsiTheme="majorBidi" w:cstheme="majorBidi"/>
                <w:sz w:val="24"/>
                <w:szCs w:val="24"/>
              </w:rPr>
              <w:t>pH</w:t>
            </w:r>
          </w:p>
        </w:tc>
        <w:tc>
          <w:tcPr>
            <w:tcW w:w="1219" w:type="pct"/>
          </w:tcPr>
          <w:p w14:paraId="29933EBD"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On admission</w:t>
            </w:r>
          </w:p>
        </w:tc>
        <w:tc>
          <w:tcPr>
            <w:tcW w:w="1229" w:type="pct"/>
          </w:tcPr>
          <w:p w14:paraId="10DA925C"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7.28±0.101</w:t>
            </w:r>
          </w:p>
        </w:tc>
        <w:tc>
          <w:tcPr>
            <w:tcW w:w="1229" w:type="pct"/>
          </w:tcPr>
          <w:p w14:paraId="2C2D81A7"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7.30±0.114</w:t>
            </w:r>
          </w:p>
        </w:tc>
        <w:tc>
          <w:tcPr>
            <w:tcW w:w="755" w:type="pct"/>
          </w:tcPr>
          <w:p w14:paraId="68D3C047"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sz w:val="24"/>
                <w:szCs w:val="24"/>
              </w:rPr>
            </w:pPr>
            <w:r w:rsidRPr="00E040D1">
              <w:rPr>
                <w:rFonts w:asciiTheme="majorBidi" w:hAnsiTheme="majorBidi" w:cstheme="majorBidi"/>
                <w:i/>
                <w:sz w:val="24"/>
                <w:szCs w:val="24"/>
              </w:rPr>
              <w:t>0.50</w:t>
            </w:r>
          </w:p>
        </w:tc>
      </w:tr>
      <w:tr w:rsidR="0030369A" w:rsidRPr="00E040D1" w14:paraId="3710B519" w14:textId="77777777" w:rsidTr="005361A7">
        <w:trPr>
          <w:trHeight w:val="292"/>
        </w:trPr>
        <w:tc>
          <w:tcPr>
            <w:cnfStyle w:val="001000000000" w:firstRow="0" w:lastRow="0" w:firstColumn="1" w:lastColumn="0" w:oddVBand="0" w:evenVBand="0" w:oddHBand="0" w:evenHBand="0" w:firstRowFirstColumn="0" w:firstRowLastColumn="0" w:lastRowFirstColumn="0" w:lastRowLastColumn="0"/>
            <w:tcW w:w="568" w:type="pct"/>
            <w:vMerge/>
          </w:tcPr>
          <w:p w14:paraId="55289FE6" w14:textId="77777777" w:rsidR="00427926" w:rsidRPr="00E040D1" w:rsidRDefault="00427926" w:rsidP="00E040D1">
            <w:pPr>
              <w:spacing w:line="276" w:lineRule="auto"/>
              <w:rPr>
                <w:rFonts w:asciiTheme="majorBidi" w:hAnsiTheme="majorBidi" w:cstheme="majorBidi"/>
                <w:sz w:val="24"/>
                <w:szCs w:val="24"/>
              </w:rPr>
            </w:pPr>
          </w:p>
        </w:tc>
        <w:tc>
          <w:tcPr>
            <w:tcW w:w="1219" w:type="pct"/>
          </w:tcPr>
          <w:p w14:paraId="128B16A5"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1</w:t>
            </w:r>
            <w:r w:rsidRPr="00E040D1">
              <w:rPr>
                <w:rFonts w:asciiTheme="majorBidi" w:hAnsiTheme="majorBidi" w:cstheme="majorBidi"/>
                <w:b/>
                <w:bCs/>
                <w:sz w:val="24"/>
                <w:szCs w:val="24"/>
                <w:vertAlign w:val="superscript"/>
              </w:rPr>
              <w:t xml:space="preserve">st </w:t>
            </w:r>
            <w:r w:rsidRPr="00E040D1">
              <w:rPr>
                <w:rFonts w:asciiTheme="majorBidi" w:hAnsiTheme="majorBidi" w:cstheme="majorBidi"/>
                <w:b/>
                <w:bCs/>
                <w:sz w:val="24"/>
                <w:szCs w:val="24"/>
              </w:rPr>
              <w:t>day</w:t>
            </w:r>
          </w:p>
        </w:tc>
        <w:tc>
          <w:tcPr>
            <w:tcW w:w="1229" w:type="pct"/>
          </w:tcPr>
          <w:p w14:paraId="7CF0747B"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7.31±0.076</w:t>
            </w:r>
          </w:p>
        </w:tc>
        <w:tc>
          <w:tcPr>
            <w:tcW w:w="1229" w:type="pct"/>
          </w:tcPr>
          <w:p w14:paraId="2FB189E5"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7.33±0.086</w:t>
            </w:r>
          </w:p>
        </w:tc>
        <w:tc>
          <w:tcPr>
            <w:tcW w:w="755" w:type="pct"/>
          </w:tcPr>
          <w:p w14:paraId="4903EFBB"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0.27</w:t>
            </w:r>
          </w:p>
        </w:tc>
      </w:tr>
      <w:tr w:rsidR="0030369A" w:rsidRPr="00E040D1" w14:paraId="303E898A" w14:textId="77777777" w:rsidTr="005361A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8" w:type="pct"/>
            <w:vMerge/>
          </w:tcPr>
          <w:p w14:paraId="17004398" w14:textId="77777777" w:rsidR="00427926" w:rsidRPr="00E040D1" w:rsidRDefault="00427926" w:rsidP="00E040D1">
            <w:pPr>
              <w:spacing w:line="276" w:lineRule="auto"/>
              <w:rPr>
                <w:rFonts w:asciiTheme="majorBidi" w:hAnsiTheme="majorBidi" w:cstheme="majorBidi"/>
                <w:sz w:val="24"/>
                <w:szCs w:val="24"/>
              </w:rPr>
            </w:pPr>
          </w:p>
        </w:tc>
        <w:tc>
          <w:tcPr>
            <w:tcW w:w="1219" w:type="pct"/>
          </w:tcPr>
          <w:p w14:paraId="002DEAF3"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3</w:t>
            </w:r>
            <w:r w:rsidRPr="00E040D1">
              <w:rPr>
                <w:rFonts w:asciiTheme="majorBidi" w:hAnsiTheme="majorBidi" w:cstheme="majorBidi"/>
                <w:b/>
                <w:bCs/>
                <w:sz w:val="24"/>
                <w:szCs w:val="24"/>
                <w:vertAlign w:val="superscript"/>
              </w:rPr>
              <w:t>rd</w:t>
            </w:r>
            <w:r w:rsidRPr="00E040D1">
              <w:rPr>
                <w:rFonts w:asciiTheme="majorBidi" w:hAnsiTheme="majorBidi" w:cstheme="majorBidi"/>
                <w:b/>
                <w:bCs/>
                <w:sz w:val="24"/>
                <w:szCs w:val="24"/>
              </w:rPr>
              <w:t xml:space="preserve"> day</w:t>
            </w:r>
          </w:p>
        </w:tc>
        <w:tc>
          <w:tcPr>
            <w:tcW w:w="1229" w:type="pct"/>
          </w:tcPr>
          <w:p w14:paraId="7C9B1FC0"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7.34±0.085</w:t>
            </w:r>
          </w:p>
        </w:tc>
        <w:tc>
          <w:tcPr>
            <w:tcW w:w="1229" w:type="pct"/>
          </w:tcPr>
          <w:p w14:paraId="661E00C9"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7.32±0.125</w:t>
            </w:r>
          </w:p>
        </w:tc>
        <w:tc>
          <w:tcPr>
            <w:tcW w:w="755" w:type="pct"/>
          </w:tcPr>
          <w:p w14:paraId="281106CC"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0.30</w:t>
            </w:r>
          </w:p>
        </w:tc>
      </w:tr>
      <w:tr w:rsidR="0030369A" w:rsidRPr="00E040D1" w14:paraId="13841F27" w14:textId="77777777" w:rsidTr="005361A7">
        <w:trPr>
          <w:trHeight w:val="292"/>
        </w:trPr>
        <w:tc>
          <w:tcPr>
            <w:cnfStyle w:val="001000000000" w:firstRow="0" w:lastRow="0" w:firstColumn="1" w:lastColumn="0" w:oddVBand="0" w:evenVBand="0" w:oddHBand="0" w:evenHBand="0" w:firstRowFirstColumn="0" w:firstRowLastColumn="0" w:lastRowFirstColumn="0" w:lastRowLastColumn="0"/>
            <w:tcW w:w="568" w:type="pct"/>
            <w:vMerge/>
          </w:tcPr>
          <w:p w14:paraId="6A2F4D45" w14:textId="77777777" w:rsidR="00427926" w:rsidRPr="00E040D1" w:rsidRDefault="00427926" w:rsidP="00E040D1">
            <w:pPr>
              <w:spacing w:line="276" w:lineRule="auto"/>
              <w:rPr>
                <w:rFonts w:asciiTheme="majorBidi" w:hAnsiTheme="majorBidi" w:cstheme="majorBidi"/>
                <w:sz w:val="24"/>
                <w:szCs w:val="24"/>
              </w:rPr>
            </w:pPr>
          </w:p>
        </w:tc>
        <w:tc>
          <w:tcPr>
            <w:tcW w:w="1219" w:type="pct"/>
          </w:tcPr>
          <w:p w14:paraId="33B43D9D"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5</w:t>
            </w:r>
            <w:r w:rsidRPr="00E040D1">
              <w:rPr>
                <w:rFonts w:asciiTheme="majorBidi" w:hAnsiTheme="majorBidi" w:cstheme="majorBidi"/>
                <w:b/>
                <w:bCs/>
                <w:sz w:val="24"/>
                <w:szCs w:val="24"/>
                <w:vertAlign w:val="superscript"/>
              </w:rPr>
              <w:t xml:space="preserve">th </w:t>
            </w:r>
            <w:r w:rsidRPr="00E040D1">
              <w:rPr>
                <w:rFonts w:asciiTheme="majorBidi" w:hAnsiTheme="majorBidi" w:cstheme="majorBidi"/>
                <w:b/>
                <w:bCs/>
                <w:sz w:val="24"/>
                <w:szCs w:val="24"/>
              </w:rPr>
              <w:t>day</w:t>
            </w:r>
          </w:p>
        </w:tc>
        <w:tc>
          <w:tcPr>
            <w:tcW w:w="1229" w:type="pct"/>
          </w:tcPr>
          <w:p w14:paraId="24AC78F1"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7.29±0.086</w:t>
            </w:r>
          </w:p>
        </w:tc>
        <w:tc>
          <w:tcPr>
            <w:tcW w:w="1229" w:type="pct"/>
          </w:tcPr>
          <w:p w14:paraId="07A88547"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6.30±0.101</w:t>
            </w:r>
          </w:p>
        </w:tc>
        <w:tc>
          <w:tcPr>
            <w:tcW w:w="755" w:type="pct"/>
          </w:tcPr>
          <w:p w14:paraId="670DB275"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0.86</w:t>
            </w:r>
          </w:p>
        </w:tc>
      </w:tr>
      <w:tr w:rsidR="0030369A" w:rsidRPr="00E040D1" w14:paraId="14D0239C" w14:textId="77777777" w:rsidTr="005361A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8" w:type="pct"/>
            <w:vMerge/>
          </w:tcPr>
          <w:p w14:paraId="4EABDD2E" w14:textId="77777777" w:rsidR="00427926" w:rsidRPr="00E040D1" w:rsidRDefault="00427926" w:rsidP="00E040D1">
            <w:pPr>
              <w:spacing w:line="276" w:lineRule="auto"/>
              <w:rPr>
                <w:rFonts w:asciiTheme="majorBidi" w:hAnsiTheme="majorBidi" w:cstheme="majorBidi"/>
                <w:sz w:val="24"/>
                <w:szCs w:val="24"/>
              </w:rPr>
            </w:pPr>
          </w:p>
        </w:tc>
        <w:tc>
          <w:tcPr>
            <w:tcW w:w="1219" w:type="pct"/>
          </w:tcPr>
          <w:p w14:paraId="32510886"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7</w:t>
            </w:r>
            <w:r w:rsidRPr="00E040D1">
              <w:rPr>
                <w:rFonts w:asciiTheme="majorBidi" w:hAnsiTheme="majorBidi" w:cstheme="majorBidi"/>
                <w:b/>
                <w:bCs/>
                <w:sz w:val="24"/>
                <w:szCs w:val="24"/>
                <w:vertAlign w:val="superscript"/>
              </w:rPr>
              <w:t xml:space="preserve">th </w:t>
            </w:r>
            <w:r w:rsidRPr="00E040D1">
              <w:rPr>
                <w:rFonts w:asciiTheme="majorBidi" w:hAnsiTheme="majorBidi" w:cstheme="majorBidi"/>
                <w:b/>
                <w:bCs/>
                <w:sz w:val="24"/>
                <w:szCs w:val="24"/>
              </w:rPr>
              <w:t>day</w:t>
            </w:r>
          </w:p>
        </w:tc>
        <w:tc>
          <w:tcPr>
            <w:tcW w:w="1229" w:type="pct"/>
          </w:tcPr>
          <w:p w14:paraId="69C0DC36"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7.28±0.086</w:t>
            </w:r>
          </w:p>
        </w:tc>
        <w:tc>
          <w:tcPr>
            <w:tcW w:w="1229" w:type="pct"/>
          </w:tcPr>
          <w:p w14:paraId="26CCF429"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7.29±0.095</w:t>
            </w:r>
          </w:p>
        </w:tc>
        <w:tc>
          <w:tcPr>
            <w:tcW w:w="755" w:type="pct"/>
          </w:tcPr>
          <w:p w14:paraId="1FBF9BFE"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0.73</w:t>
            </w:r>
          </w:p>
        </w:tc>
      </w:tr>
      <w:tr w:rsidR="0030369A" w:rsidRPr="00E040D1" w14:paraId="1CA429A4" w14:textId="77777777" w:rsidTr="005361A7">
        <w:trPr>
          <w:trHeight w:val="280"/>
        </w:trPr>
        <w:tc>
          <w:tcPr>
            <w:cnfStyle w:val="001000000000" w:firstRow="0" w:lastRow="0" w:firstColumn="1" w:lastColumn="0" w:oddVBand="0" w:evenVBand="0" w:oddHBand="0" w:evenHBand="0" w:firstRowFirstColumn="0" w:firstRowLastColumn="0" w:lastRowFirstColumn="0" w:lastRowLastColumn="0"/>
            <w:tcW w:w="568" w:type="pct"/>
            <w:vMerge/>
          </w:tcPr>
          <w:p w14:paraId="0FF2E454" w14:textId="77777777" w:rsidR="00427926" w:rsidRPr="00E040D1" w:rsidRDefault="00427926" w:rsidP="00E040D1">
            <w:pPr>
              <w:spacing w:line="276" w:lineRule="auto"/>
              <w:rPr>
                <w:rFonts w:asciiTheme="majorBidi" w:hAnsiTheme="majorBidi" w:cstheme="majorBidi"/>
                <w:sz w:val="24"/>
                <w:szCs w:val="24"/>
              </w:rPr>
            </w:pPr>
          </w:p>
        </w:tc>
        <w:tc>
          <w:tcPr>
            <w:tcW w:w="1219" w:type="pct"/>
          </w:tcPr>
          <w:p w14:paraId="742E1705"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10</w:t>
            </w:r>
            <w:r w:rsidRPr="00E040D1">
              <w:rPr>
                <w:rFonts w:asciiTheme="majorBidi" w:hAnsiTheme="majorBidi" w:cstheme="majorBidi"/>
                <w:b/>
                <w:bCs/>
                <w:sz w:val="24"/>
                <w:szCs w:val="24"/>
                <w:vertAlign w:val="superscript"/>
              </w:rPr>
              <w:t>th</w:t>
            </w:r>
            <w:r w:rsidRPr="00E040D1">
              <w:rPr>
                <w:rFonts w:asciiTheme="majorBidi" w:hAnsiTheme="majorBidi" w:cstheme="majorBidi"/>
                <w:b/>
                <w:bCs/>
                <w:sz w:val="24"/>
                <w:szCs w:val="24"/>
              </w:rPr>
              <w:t xml:space="preserve"> day</w:t>
            </w:r>
          </w:p>
        </w:tc>
        <w:tc>
          <w:tcPr>
            <w:tcW w:w="1229" w:type="pct"/>
          </w:tcPr>
          <w:p w14:paraId="273616F9"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7.30±0.0100</w:t>
            </w:r>
          </w:p>
        </w:tc>
        <w:tc>
          <w:tcPr>
            <w:tcW w:w="1229" w:type="pct"/>
          </w:tcPr>
          <w:p w14:paraId="611C278C"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7.16±1.0045</w:t>
            </w:r>
          </w:p>
        </w:tc>
        <w:tc>
          <w:tcPr>
            <w:tcW w:w="755" w:type="pct"/>
          </w:tcPr>
          <w:p w14:paraId="1025FE94"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0.33</w:t>
            </w:r>
          </w:p>
        </w:tc>
      </w:tr>
      <w:tr w:rsidR="0030369A" w:rsidRPr="00E040D1" w14:paraId="058B423F" w14:textId="77777777" w:rsidTr="005361A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68" w:type="pct"/>
            <w:vMerge w:val="restart"/>
          </w:tcPr>
          <w:p w14:paraId="60DE430E" w14:textId="77777777" w:rsidR="00427926" w:rsidRPr="00E040D1" w:rsidRDefault="00427926" w:rsidP="00E040D1">
            <w:pPr>
              <w:spacing w:line="276" w:lineRule="auto"/>
              <w:rPr>
                <w:rFonts w:asciiTheme="majorBidi" w:hAnsiTheme="majorBidi" w:cstheme="majorBidi"/>
                <w:sz w:val="24"/>
                <w:szCs w:val="24"/>
              </w:rPr>
            </w:pPr>
            <w:r w:rsidRPr="00E040D1">
              <w:rPr>
                <w:rFonts w:asciiTheme="majorBidi" w:hAnsiTheme="majorBidi" w:cstheme="majorBidi"/>
                <w:sz w:val="24"/>
                <w:szCs w:val="24"/>
              </w:rPr>
              <w:t>PaCO</w:t>
            </w:r>
            <w:r w:rsidRPr="00E040D1">
              <w:rPr>
                <w:rFonts w:asciiTheme="majorBidi" w:hAnsiTheme="majorBidi" w:cstheme="majorBidi"/>
                <w:sz w:val="24"/>
                <w:szCs w:val="24"/>
                <w:vertAlign w:val="subscript"/>
              </w:rPr>
              <w:t>2</w:t>
            </w:r>
          </w:p>
        </w:tc>
        <w:tc>
          <w:tcPr>
            <w:tcW w:w="1219" w:type="pct"/>
          </w:tcPr>
          <w:p w14:paraId="49BF5F0E"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On admission</w:t>
            </w:r>
          </w:p>
        </w:tc>
        <w:tc>
          <w:tcPr>
            <w:tcW w:w="1229" w:type="pct"/>
          </w:tcPr>
          <w:p w14:paraId="4DAE764D"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39.48±8.144</w:t>
            </w:r>
          </w:p>
        </w:tc>
        <w:tc>
          <w:tcPr>
            <w:tcW w:w="1229" w:type="pct"/>
          </w:tcPr>
          <w:p w14:paraId="38FD3620"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38.08±9.378</w:t>
            </w:r>
          </w:p>
        </w:tc>
        <w:tc>
          <w:tcPr>
            <w:tcW w:w="755" w:type="pct"/>
          </w:tcPr>
          <w:p w14:paraId="65122E68"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0.42</w:t>
            </w:r>
          </w:p>
        </w:tc>
      </w:tr>
      <w:tr w:rsidR="0030369A" w:rsidRPr="00E040D1" w14:paraId="2D8C9FC7" w14:textId="77777777" w:rsidTr="005361A7">
        <w:trPr>
          <w:trHeight w:val="280"/>
        </w:trPr>
        <w:tc>
          <w:tcPr>
            <w:cnfStyle w:val="001000000000" w:firstRow="0" w:lastRow="0" w:firstColumn="1" w:lastColumn="0" w:oddVBand="0" w:evenVBand="0" w:oddHBand="0" w:evenHBand="0" w:firstRowFirstColumn="0" w:firstRowLastColumn="0" w:lastRowFirstColumn="0" w:lastRowLastColumn="0"/>
            <w:tcW w:w="568" w:type="pct"/>
            <w:vMerge/>
          </w:tcPr>
          <w:p w14:paraId="4A792508" w14:textId="77777777" w:rsidR="00427926" w:rsidRPr="00E040D1" w:rsidRDefault="00427926" w:rsidP="00E040D1">
            <w:pPr>
              <w:spacing w:line="276" w:lineRule="auto"/>
              <w:rPr>
                <w:rFonts w:asciiTheme="majorBidi" w:hAnsiTheme="majorBidi" w:cstheme="majorBidi"/>
                <w:sz w:val="24"/>
                <w:szCs w:val="24"/>
              </w:rPr>
            </w:pPr>
          </w:p>
        </w:tc>
        <w:tc>
          <w:tcPr>
            <w:tcW w:w="1219" w:type="pct"/>
          </w:tcPr>
          <w:p w14:paraId="248E7BF3"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1</w:t>
            </w:r>
            <w:r w:rsidRPr="00E040D1">
              <w:rPr>
                <w:rFonts w:asciiTheme="majorBidi" w:hAnsiTheme="majorBidi" w:cstheme="majorBidi"/>
                <w:b/>
                <w:bCs/>
                <w:sz w:val="24"/>
                <w:szCs w:val="24"/>
                <w:vertAlign w:val="superscript"/>
              </w:rPr>
              <w:t>ST</w:t>
            </w:r>
            <w:r w:rsidRPr="00E040D1">
              <w:rPr>
                <w:rFonts w:asciiTheme="majorBidi" w:hAnsiTheme="majorBidi" w:cstheme="majorBidi"/>
                <w:b/>
                <w:bCs/>
                <w:sz w:val="24"/>
                <w:szCs w:val="24"/>
              </w:rPr>
              <w:t>day</w:t>
            </w:r>
          </w:p>
        </w:tc>
        <w:tc>
          <w:tcPr>
            <w:tcW w:w="1229" w:type="pct"/>
          </w:tcPr>
          <w:p w14:paraId="0935DD2B"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47.58±13.63</w:t>
            </w:r>
          </w:p>
        </w:tc>
        <w:tc>
          <w:tcPr>
            <w:tcW w:w="1229" w:type="pct"/>
          </w:tcPr>
          <w:p w14:paraId="72725D76"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49.1±14.45</w:t>
            </w:r>
          </w:p>
        </w:tc>
        <w:tc>
          <w:tcPr>
            <w:tcW w:w="755" w:type="pct"/>
          </w:tcPr>
          <w:p w14:paraId="28786377"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0.58</w:t>
            </w:r>
          </w:p>
        </w:tc>
      </w:tr>
      <w:tr w:rsidR="0030369A" w:rsidRPr="00E040D1" w14:paraId="257B4B54" w14:textId="77777777" w:rsidTr="005361A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68" w:type="pct"/>
            <w:vMerge/>
          </w:tcPr>
          <w:p w14:paraId="06DA5D14" w14:textId="77777777" w:rsidR="00427926" w:rsidRPr="00E040D1" w:rsidRDefault="00427926" w:rsidP="00E040D1">
            <w:pPr>
              <w:spacing w:line="276" w:lineRule="auto"/>
              <w:rPr>
                <w:rFonts w:asciiTheme="majorBidi" w:hAnsiTheme="majorBidi" w:cstheme="majorBidi"/>
                <w:sz w:val="24"/>
                <w:szCs w:val="24"/>
              </w:rPr>
            </w:pPr>
          </w:p>
        </w:tc>
        <w:tc>
          <w:tcPr>
            <w:tcW w:w="1219" w:type="pct"/>
          </w:tcPr>
          <w:p w14:paraId="02317C32"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3</w:t>
            </w:r>
            <w:r w:rsidRPr="00E040D1">
              <w:rPr>
                <w:rFonts w:asciiTheme="majorBidi" w:hAnsiTheme="majorBidi" w:cstheme="majorBidi"/>
                <w:b/>
                <w:bCs/>
                <w:sz w:val="24"/>
                <w:szCs w:val="24"/>
                <w:vertAlign w:val="superscript"/>
              </w:rPr>
              <w:t>rd</w:t>
            </w:r>
            <w:r w:rsidRPr="00E040D1">
              <w:rPr>
                <w:rFonts w:asciiTheme="majorBidi" w:hAnsiTheme="majorBidi" w:cstheme="majorBidi"/>
                <w:b/>
                <w:bCs/>
                <w:sz w:val="24"/>
                <w:szCs w:val="24"/>
              </w:rPr>
              <w:t>day</w:t>
            </w:r>
          </w:p>
        </w:tc>
        <w:tc>
          <w:tcPr>
            <w:tcW w:w="1229" w:type="pct"/>
          </w:tcPr>
          <w:p w14:paraId="3F7638EB"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45.48±11.79</w:t>
            </w:r>
          </w:p>
        </w:tc>
        <w:tc>
          <w:tcPr>
            <w:tcW w:w="1229" w:type="pct"/>
          </w:tcPr>
          <w:p w14:paraId="35727667"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45.64±12.84</w:t>
            </w:r>
          </w:p>
        </w:tc>
        <w:tc>
          <w:tcPr>
            <w:tcW w:w="755" w:type="pct"/>
          </w:tcPr>
          <w:p w14:paraId="03350E89"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0.94</w:t>
            </w:r>
          </w:p>
        </w:tc>
      </w:tr>
      <w:tr w:rsidR="0030369A" w:rsidRPr="00E040D1" w14:paraId="6817217A" w14:textId="77777777" w:rsidTr="005361A7">
        <w:trPr>
          <w:trHeight w:val="280"/>
        </w:trPr>
        <w:tc>
          <w:tcPr>
            <w:cnfStyle w:val="001000000000" w:firstRow="0" w:lastRow="0" w:firstColumn="1" w:lastColumn="0" w:oddVBand="0" w:evenVBand="0" w:oddHBand="0" w:evenHBand="0" w:firstRowFirstColumn="0" w:firstRowLastColumn="0" w:lastRowFirstColumn="0" w:lastRowLastColumn="0"/>
            <w:tcW w:w="568" w:type="pct"/>
            <w:vMerge/>
          </w:tcPr>
          <w:p w14:paraId="060599C8" w14:textId="77777777" w:rsidR="00427926" w:rsidRPr="00E040D1" w:rsidRDefault="00427926" w:rsidP="00E040D1">
            <w:pPr>
              <w:spacing w:line="276" w:lineRule="auto"/>
              <w:rPr>
                <w:rFonts w:asciiTheme="majorBidi" w:hAnsiTheme="majorBidi" w:cstheme="majorBidi"/>
                <w:sz w:val="24"/>
                <w:szCs w:val="24"/>
              </w:rPr>
            </w:pPr>
          </w:p>
        </w:tc>
        <w:tc>
          <w:tcPr>
            <w:tcW w:w="1219" w:type="pct"/>
          </w:tcPr>
          <w:p w14:paraId="1FE943FB"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5</w:t>
            </w:r>
            <w:r w:rsidRPr="00E040D1">
              <w:rPr>
                <w:rFonts w:asciiTheme="majorBidi" w:hAnsiTheme="majorBidi" w:cstheme="majorBidi"/>
                <w:b/>
                <w:bCs/>
                <w:sz w:val="24"/>
                <w:szCs w:val="24"/>
                <w:vertAlign w:val="superscript"/>
              </w:rPr>
              <w:t>th</w:t>
            </w:r>
            <w:r w:rsidRPr="00E040D1">
              <w:rPr>
                <w:rFonts w:asciiTheme="majorBidi" w:hAnsiTheme="majorBidi" w:cstheme="majorBidi"/>
                <w:b/>
                <w:bCs/>
                <w:sz w:val="24"/>
                <w:szCs w:val="24"/>
              </w:rPr>
              <w:t>day</w:t>
            </w:r>
          </w:p>
        </w:tc>
        <w:tc>
          <w:tcPr>
            <w:tcW w:w="1229" w:type="pct"/>
          </w:tcPr>
          <w:p w14:paraId="52E1C21C"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43.3±9.685</w:t>
            </w:r>
          </w:p>
        </w:tc>
        <w:tc>
          <w:tcPr>
            <w:tcW w:w="1229" w:type="pct"/>
          </w:tcPr>
          <w:p w14:paraId="39E0826A"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43.58±11.923</w:t>
            </w:r>
          </w:p>
        </w:tc>
        <w:tc>
          <w:tcPr>
            <w:tcW w:w="755" w:type="pct"/>
          </w:tcPr>
          <w:p w14:paraId="74F7F8F7"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0.89</w:t>
            </w:r>
          </w:p>
        </w:tc>
      </w:tr>
      <w:tr w:rsidR="0030369A" w:rsidRPr="00E040D1" w14:paraId="73C9DD3E" w14:textId="77777777" w:rsidTr="005361A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68" w:type="pct"/>
            <w:vMerge/>
          </w:tcPr>
          <w:p w14:paraId="5A6C2800" w14:textId="77777777" w:rsidR="00427926" w:rsidRPr="00E040D1" w:rsidRDefault="00427926" w:rsidP="00E040D1">
            <w:pPr>
              <w:spacing w:line="276" w:lineRule="auto"/>
              <w:rPr>
                <w:rFonts w:asciiTheme="majorBidi" w:hAnsiTheme="majorBidi" w:cstheme="majorBidi"/>
                <w:sz w:val="24"/>
                <w:szCs w:val="24"/>
              </w:rPr>
            </w:pPr>
          </w:p>
        </w:tc>
        <w:tc>
          <w:tcPr>
            <w:tcW w:w="1219" w:type="pct"/>
          </w:tcPr>
          <w:p w14:paraId="02476A4F"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7</w:t>
            </w:r>
            <w:r w:rsidRPr="00E040D1">
              <w:rPr>
                <w:rFonts w:asciiTheme="majorBidi" w:hAnsiTheme="majorBidi" w:cstheme="majorBidi"/>
                <w:b/>
                <w:bCs/>
                <w:sz w:val="24"/>
                <w:szCs w:val="24"/>
                <w:vertAlign w:val="superscript"/>
              </w:rPr>
              <w:t>th</w:t>
            </w:r>
            <w:r w:rsidRPr="00E040D1">
              <w:rPr>
                <w:rFonts w:asciiTheme="majorBidi" w:hAnsiTheme="majorBidi" w:cstheme="majorBidi"/>
                <w:b/>
                <w:bCs/>
                <w:sz w:val="24"/>
                <w:szCs w:val="24"/>
              </w:rPr>
              <w:t>day</w:t>
            </w:r>
          </w:p>
        </w:tc>
        <w:tc>
          <w:tcPr>
            <w:tcW w:w="1229" w:type="pct"/>
          </w:tcPr>
          <w:p w14:paraId="08C6182B"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45.02±10.07</w:t>
            </w:r>
          </w:p>
        </w:tc>
        <w:tc>
          <w:tcPr>
            <w:tcW w:w="1229" w:type="pct"/>
          </w:tcPr>
          <w:p w14:paraId="3299D755"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46.98±11.282</w:t>
            </w:r>
          </w:p>
        </w:tc>
        <w:tc>
          <w:tcPr>
            <w:tcW w:w="755" w:type="pct"/>
          </w:tcPr>
          <w:p w14:paraId="52E69AB4"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0.36</w:t>
            </w:r>
          </w:p>
        </w:tc>
      </w:tr>
      <w:tr w:rsidR="0030369A" w:rsidRPr="00E040D1" w14:paraId="59B5AB0E" w14:textId="77777777" w:rsidTr="005361A7">
        <w:trPr>
          <w:trHeight w:val="280"/>
        </w:trPr>
        <w:tc>
          <w:tcPr>
            <w:cnfStyle w:val="001000000000" w:firstRow="0" w:lastRow="0" w:firstColumn="1" w:lastColumn="0" w:oddVBand="0" w:evenVBand="0" w:oddHBand="0" w:evenHBand="0" w:firstRowFirstColumn="0" w:firstRowLastColumn="0" w:lastRowFirstColumn="0" w:lastRowLastColumn="0"/>
            <w:tcW w:w="568" w:type="pct"/>
            <w:vMerge/>
          </w:tcPr>
          <w:p w14:paraId="2239809F" w14:textId="77777777" w:rsidR="00427926" w:rsidRPr="00E040D1" w:rsidRDefault="00427926" w:rsidP="00E040D1">
            <w:pPr>
              <w:spacing w:line="276" w:lineRule="auto"/>
              <w:rPr>
                <w:rFonts w:asciiTheme="majorBidi" w:hAnsiTheme="majorBidi" w:cstheme="majorBidi"/>
                <w:sz w:val="24"/>
                <w:szCs w:val="24"/>
              </w:rPr>
            </w:pPr>
          </w:p>
        </w:tc>
        <w:tc>
          <w:tcPr>
            <w:tcW w:w="1219" w:type="pct"/>
          </w:tcPr>
          <w:p w14:paraId="13081939"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10</w:t>
            </w:r>
            <w:r w:rsidRPr="00E040D1">
              <w:rPr>
                <w:rFonts w:asciiTheme="majorBidi" w:hAnsiTheme="majorBidi" w:cstheme="majorBidi"/>
                <w:b/>
                <w:bCs/>
                <w:sz w:val="24"/>
                <w:szCs w:val="24"/>
                <w:vertAlign w:val="superscript"/>
              </w:rPr>
              <w:t>th</w:t>
            </w:r>
            <w:r w:rsidRPr="00E040D1">
              <w:rPr>
                <w:rFonts w:asciiTheme="majorBidi" w:hAnsiTheme="majorBidi" w:cstheme="majorBidi"/>
                <w:b/>
                <w:bCs/>
                <w:sz w:val="24"/>
                <w:szCs w:val="24"/>
              </w:rPr>
              <w:t>day</w:t>
            </w:r>
          </w:p>
        </w:tc>
        <w:tc>
          <w:tcPr>
            <w:tcW w:w="1229" w:type="pct"/>
          </w:tcPr>
          <w:p w14:paraId="38BC61CB"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49.12±10.839</w:t>
            </w:r>
          </w:p>
        </w:tc>
        <w:tc>
          <w:tcPr>
            <w:tcW w:w="1229" w:type="pct"/>
          </w:tcPr>
          <w:p w14:paraId="2E008A87"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47.44±13.17</w:t>
            </w:r>
          </w:p>
        </w:tc>
        <w:tc>
          <w:tcPr>
            <w:tcW w:w="755" w:type="pct"/>
          </w:tcPr>
          <w:p w14:paraId="65CF3874"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0.89</w:t>
            </w:r>
          </w:p>
        </w:tc>
      </w:tr>
      <w:tr w:rsidR="0030369A" w:rsidRPr="00E040D1" w14:paraId="71289B54" w14:textId="77777777" w:rsidTr="005361A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68" w:type="pct"/>
            <w:vMerge w:val="restart"/>
          </w:tcPr>
          <w:p w14:paraId="29702E06" w14:textId="77777777" w:rsidR="00427926" w:rsidRPr="00E040D1" w:rsidRDefault="00427926" w:rsidP="00E040D1">
            <w:pPr>
              <w:spacing w:line="276" w:lineRule="auto"/>
              <w:rPr>
                <w:rFonts w:asciiTheme="majorBidi" w:hAnsiTheme="majorBidi" w:cstheme="majorBidi"/>
                <w:sz w:val="24"/>
                <w:szCs w:val="24"/>
              </w:rPr>
            </w:pPr>
            <w:r w:rsidRPr="00E040D1">
              <w:rPr>
                <w:rFonts w:asciiTheme="majorBidi" w:hAnsiTheme="majorBidi" w:cstheme="majorBidi"/>
                <w:sz w:val="24"/>
                <w:szCs w:val="24"/>
              </w:rPr>
              <w:t>PaO</w:t>
            </w:r>
            <w:r w:rsidRPr="00E040D1">
              <w:rPr>
                <w:rFonts w:asciiTheme="majorBidi" w:hAnsiTheme="majorBidi" w:cstheme="majorBidi"/>
                <w:sz w:val="24"/>
                <w:szCs w:val="24"/>
                <w:vertAlign w:val="subscript"/>
              </w:rPr>
              <w:t>2</w:t>
            </w:r>
          </w:p>
        </w:tc>
        <w:tc>
          <w:tcPr>
            <w:tcW w:w="1219" w:type="pct"/>
          </w:tcPr>
          <w:p w14:paraId="4FA27246"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On admission</w:t>
            </w:r>
          </w:p>
        </w:tc>
        <w:tc>
          <w:tcPr>
            <w:tcW w:w="1229" w:type="pct"/>
          </w:tcPr>
          <w:p w14:paraId="2606B5F5"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48.64±8.515</w:t>
            </w:r>
          </w:p>
        </w:tc>
        <w:tc>
          <w:tcPr>
            <w:tcW w:w="1229" w:type="pct"/>
          </w:tcPr>
          <w:p w14:paraId="6A7F3944"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50.98±8.175</w:t>
            </w:r>
          </w:p>
        </w:tc>
        <w:tc>
          <w:tcPr>
            <w:tcW w:w="755" w:type="pct"/>
          </w:tcPr>
          <w:p w14:paraId="2DC4C790"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0.16</w:t>
            </w:r>
          </w:p>
        </w:tc>
      </w:tr>
      <w:tr w:rsidR="0030369A" w:rsidRPr="00E040D1" w14:paraId="3A3D0F95" w14:textId="77777777" w:rsidTr="005361A7">
        <w:trPr>
          <w:trHeight w:val="280"/>
        </w:trPr>
        <w:tc>
          <w:tcPr>
            <w:cnfStyle w:val="001000000000" w:firstRow="0" w:lastRow="0" w:firstColumn="1" w:lastColumn="0" w:oddVBand="0" w:evenVBand="0" w:oddHBand="0" w:evenHBand="0" w:firstRowFirstColumn="0" w:firstRowLastColumn="0" w:lastRowFirstColumn="0" w:lastRowLastColumn="0"/>
            <w:tcW w:w="568" w:type="pct"/>
            <w:vMerge/>
          </w:tcPr>
          <w:p w14:paraId="3DDBD250" w14:textId="77777777" w:rsidR="00427926" w:rsidRPr="00E040D1" w:rsidRDefault="00427926" w:rsidP="00E040D1">
            <w:pPr>
              <w:spacing w:line="276" w:lineRule="auto"/>
              <w:rPr>
                <w:rFonts w:asciiTheme="majorBidi" w:hAnsiTheme="majorBidi" w:cstheme="majorBidi"/>
                <w:sz w:val="24"/>
                <w:szCs w:val="24"/>
              </w:rPr>
            </w:pPr>
          </w:p>
        </w:tc>
        <w:tc>
          <w:tcPr>
            <w:tcW w:w="1219" w:type="pct"/>
          </w:tcPr>
          <w:p w14:paraId="35201703"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1</w:t>
            </w:r>
            <w:r w:rsidRPr="00E040D1">
              <w:rPr>
                <w:rFonts w:asciiTheme="majorBidi" w:hAnsiTheme="majorBidi" w:cstheme="majorBidi"/>
                <w:b/>
                <w:bCs/>
                <w:sz w:val="24"/>
                <w:szCs w:val="24"/>
                <w:vertAlign w:val="superscript"/>
              </w:rPr>
              <w:t>ST</w:t>
            </w:r>
            <w:r w:rsidRPr="00E040D1">
              <w:rPr>
                <w:rFonts w:asciiTheme="majorBidi" w:hAnsiTheme="majorBidi" w:cstheme="majorBidi"/>
                <w:b/>
                <w:bCs/>
                <w:sz w:val="24"/>
                <w:szCs w:val="24"/>
              </w:rPr>
              <w:t>day</w:t>
            </w:r>
          </w:p>
        </w:tc>
        <w:tc>
          <w:tcPr>
            <w:tcW w:w="1229" w:type="pct"/>
          </w:tcPr>
          <w:p w14:paraId="2B1FA0AA"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54.58±8.487</w:t>
            </w:r>
          </w:p>
        </w:tc>
        <w:tc>
          <w:tcPr>
            <w:tcW w:w="1229" w:type="pct"/>
          </w:tcPr>
          <w:p w14:paraId="776353AD"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53.78±7.980</w:t>
            </w:r>
          </w:p>
        </w:tc>
        <w:tc>
          <w:tcPr>
            <w:tcW w:w="755" w:type="pct"/>
          </w:tcPr>
          <w:p w14:paraId="388DFD59"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0.62</w:t>
            </w:r>
          </w:p>
        </w:tc>
      </w:tr>
      <w:tr w:rsidR="0030369A" w:rsidRPr="00E040D1" w14:paraId="19BA29C6" w14:textId="77777777" w:rsidTr="005361A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68" w:type="pct"/>
            <w:vMerge/>
          </w:tcPr>
          <w:p w14:paraId="538B8F36" w14:textId="77777777" w:rsidR="00427926" w:rsidRPr="00E040D1" w:rsidRDefault="00427926" w:rsidP="00E040D1">
            <w:pPr>
              <w:spacing w:line="276" w:lineRule="auto"/>
              <w:rPr>
                <w:rFonts w:asciiTheme="majorBidi" w:hAnsiTheme="majorBidi" w:cstheme="majorBidi"/>
                <w:sz w:val="24"/>
                <w:szCs w:val="24"/>
              </w:rPr>
            </w:pPr>
          </w:p>
        </w:tc>
        <w:tc>
          <w:tcPr>
            <w:tcW w:w="1219" w:type="pct"/>
          </w:tcPr>
          <w:p w14:paraId="2C01DA6B"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3</w:t>
            </w:r>
            <w:r w:rsidRPr="00E040D1">
              <w:rPr>
                <w:rFonts w:asciiTheme="majorBidi" w:hAnsiTheme="majorBidi" w:cstheme="majorBidi"/>
                <w:b/>
                <w:bCs/>
                <w:sz w:val="24"/>
                <w:szCs w:val="24"/>
                <w:vertAlign w:val="superscript"/>
              </w:rPr>
              <w:t>rd</w:t>
            </w:r>
            <w:r w:rsidRPr="00E040D1">
              <w:rPr>
                <w:rFonts w:asciiTheme="majorBidi" w:hAnsiTheme="majorBidi" w:cstheme="majorBidi"/>
                <w:b/>
                <w:bCs/>
                <w:sz w:val="24"/>
                <w:szCs w:val="24"/>
              </w:rPr>
              <w:t>day</w:t>
            </w:r>
          </w:p>
        </w:tc>
        <w:tc>
          <w:tcPr>
            <w:tcW w:w="1229" w:type="pct"/>
          </w:tcPr>
          <w:p w14:paraId="5E24FF81"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50.74±7.831</w:t>
            </w:r>
          </w:p>
        </w:tc>
        <w:tc>
          <w:tcPr>
            <w:tcW w:w="1229" w:type="pct"/>
          </w:tcPr>
          <w:p w14:paraId="4C6AE063"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50.74±7.526</w:t>
            </w:r>
          </w:p>
        </w:tc>
        <w:tc>
          <w:tcPr>
            <w:tcW w:w="755" w:type="pct"/>
          </w:tcPr>
          <w:p w14:paraId="3B2F1EB7"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1.00</w:t>
            </w:r>
          </w:p>
        </w:tc>
      </w:tr>
      <w:tr w:rsidR="0030369A" w:rsidRPr="00E040D1" w14:paraId="7A944336" w14:textId="77777777" w:rsidTr="005361A7">
        <w:trPr>
          <w:trHeight w:val="280"/>
        </w:trPr>
        <w:tc>
          <w:tcPr>
            <w:cnfStyle w:val="001000000000" w:firstRow="0" w:lastRow="0" w:firstColumn="1" w:lastColumn="0" w:oddVBand="0" w:evenVBand="0" w:oddHBand="0" w:evenHBand="0" w:firstRowFirstColumn="0" w:firstRowLastColumn="0" w:lastRowFirstColumn="0" w:lastRowLastColumn="0"/>
            <w:tcW w:w="568" w:type="pct"/>
            <w:vMerge/>
          </w:tcPr>
          <w:p w14:paraId="15E15BDC" w14:textId="77777777" w:rsidR="00427926" w:rsidRPr="00E040D1" w:rsidRDefault="00427926" w:rsidP="00E040D1">
            <w:pPr>
              <w:spacing w:line="276" w:lineRule="auto"/>
              <w:rPr>
                <w:rFonts w:asciiTheme="majorBidi" w:hAnsiTheme="majorBidi" w:cstheme="majorBidi"/>
                <w:sz w:val="24"/>
                <w:szCs w:val="24"/>
              </w:rPr>
            </w:pPr>
          </w:p>
        </w:tc>
        <w:tc>
          <w:tcPr>
            <w:tcW w:w="1219" w:type="pct"/>
          </w:tcPr>
          <w:p w14:paraId="018DD2FA"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5</w:t>
            </w:r>
            <w:r w:rsidRPr="00E040D1">
              <w:rPr>
                <w:rFonts w:asciiTheme="majorBidi" w:hAnsiTheme="majorBidi" w:cstheme="majorBidi"/>
                <w:b/>
                <w:bCs/>
                <w:sz w:val="24"/>
                <w:szCs w:val="24"/>
                <w:vertAlign w:val="superscript"/>
              </w:rPr>
              <w:t>th</w:t>
            </w:r>
            <w:r w:rsidRPr="00E040D1">
              <w:rPr>
                <w:rFonts w:asciiTheme="majorBidi" w:hAnsiTheme="majorBidi" w:cstheme="majorBidi"/>
                <w:b/>
                <w:bCs/>
                <w:sz w:val="24"/>
                <w:szCs w:val="24"/>
              </w:rPr>
              <w:t>day</w:t>
            </w:r>
          </w:p>
        </w:tc>
        <w:tc>
          <w:tcPr>
            <w:tcW w:w="1229" w:type="pct"/>
          </w:tcPr>
          <w:p w14:paraId="38E3824F"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54.14±5.7888</w:t>
            </w:r>
          </w:p>
        </w:tc>
        <w:tc>
          <w:tcPr>
            <w:tcW w:w="1229" w:type="pct"/>
          </w:tcPr>
          <w:p w14:paraId="0B0AE11A"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55.78±6.946</w:t>
            </w:r>
          </w:p>
        </w:tc>
        <w:tc>
          <w:tcPr>
            <w:tcW w:w="755" w:type="pct"/>
          </w:tcPr>
          <w:p w14:paraId="3B6A5D90"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0.20</w:t>
            </w:r>
          </w:p>
        </w:tc>
      </w:tr>
      <w:tr w:rsidR="0030369A" w:rsidRPr="00E040D1" w14:paraId="3B0CCB4B" w14:textId="77777777" w:rsidTr="005361A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68" w:type="pct"/>
            <w:vMerge/>
          </w:tcPr>
          <w:p w14:paraId="24E37005" w14:textId="77777777" w:rsidR="00427926" w:rsidRPr="00E040D1" w:rsidRDefault="00427926" w:rsidP="00E040D1">
            <w:pPr>
              <w:spacing w:line="276" w:lineRule="auto"/>
              <w:rPr>
                <w:rFonts w:asciiTheme="majorBidi" w:hAnsiTheme="majorBidi" w:cstheme="majorBidi"/>
                <w:sz w:val="24"/>
                <w:szCs w:val="24"/>
              </w:rPr>
            </w:pPr>
          </w:p>
        </w:tc>
        <w:tc>
          <w:tcPr>
            <w:tcW w:w="1219" w:type="pct"/>
          </w:tcPr>
          <w:p w14:paraId="444D3DF7"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7</w:t>
            </w:r>
            <w:r w:rsidRPr="00E040D1">
              <w:rPr>
                <w:rFonts w:asciiTheme="majorBidi" w:hAnsiTheme="majorBidi" w:cstheme="majorBidi"/>
                <w:b/>
                <w:bCs/>
                <w:sz w:val="24"/>
                <w:szCs w:val="24"/>
                <w:vertAlign w:val="superscript"/>
              </w:rPr>
              <w:t>th</w:t>
            </w:r>
            <w:r w:rsidRPr="00E040D1">
              <w:rPr>
                <w:rFonts w:asciiTheme="majorBidi" w:hAnsiTheme="majorBidi" w:cstheme="majorBidi"/>
                <w:b/>
                <w:bCs/>
                <w:sz w:val="24"/>
                <w:szCs w:val="24"/>
              </w:rPr>
              <w:t>day</w:t>
            </w:r>
          </w:p>
        </w:tc>
        <w:tc>
          <w:tcPr>
            <w:tcW w:w="1229" w:type="pct"/>
          </w:tcPr>
          <w:p w14:paraId="624F17E0"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59.42±5.540</w:t>
            </w:r>
          </w:p>
        </w:tc>
        <w:tc>
          <w:tcPr>
            <w:tcW w:w="1229" w:type="pct"/>
          </w:tcPr>
          <w:p w14:paraId="0F53E2D7"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58.16±7.519</w:t>
            </w:r>
          </w:p>
        </w:tc>
        <w:tc>
          <w:tcPr>
            <w:tcW w:w="755" w:type="pct"/>
          </w:tcPr>
          <w:p w14:paraId="20320C41"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0.34</w:t>
            </w:r>
          </w:p>
        </w:tc>
      </w:tr>
      <w:tr w:rsidR="0030369A" w:rsidRPr="00E040D1" w14:paraId="31030BFD" w14:textId="77777777" w:rsidTr="005361A7">
        <w:trPr>
          <w:trHeight w:val="280"/>
        </w:trPr>
        <w:tc>
          <w:tcPr>
            <w:cnfStyle w:val="001000000000" w:firstRow="0" w:lastRow="0" w:firstColumn="1" w:lastColumn="0" w:oddVBand="0" w:evenVBand="0" w:oddHBand="0" w:evenHBand="0" w:firstRowFirstColumn="0" w:firstRowLastColumn="0" w:lastRowFirstColumn="0" w:lastRowLastColumn="0"/>
            <w:tcW w:w="568" w:type="pct"/>
            <w:vMerge/>
          </w:tcPr>
          <w:p w14:paraId="74DFC021" w14:textId="77777777" w:rsidR="00427926" w:rsidRPr="00E040D1" w:rsidRDefault="00427926" w:rsidP="00E040D1">
            <w:pPr>
              <w:spacing w:line="276" w:lineRule="auto"/>
              <w:rPr>
                <w:rFonts w:asciiTheme="majorBidi" w:hAnsiTheme="majorBidi" w:cstheme="majorBidi"/>
                <w:sz w:val="24"/>
                <w:szCs w:val="24"/>
              </w:rPr>
            </w:pPr>
          </w:p>
        </w:tc>
        <w:tc>
          <w:tcPr>
            <w:tcW w:w="1219" w:type="pct"/>
          </w:tcPr>
          <w:p w14:paraId="46DAA18E"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10</w:t>
            </w:r>
            <w:r w:rsidRPr="00E040D1">
              <w:rPr>
                <w:rFonts w:asciiTheme="majorBidi" w:hAnsiTheme="majorBidi" w:cstheme="majorBidi"/>
                <w:b/>
                <w:bCs/>
                <w:sz w:val="24"/>
                <w:szCs w:val="24"/>
                <w:vertAlign w:val="superscript"/>
              </w:rPr>
              <w:t>th</w:t>
            </w:r>
            <w:r w:rsidRPr="00E040D1">
              <w:rPr>
                <w:rFonts w:asciiTheme="majorBidi" w:hAnsiTheme="majorBidi" w:cstheme="majorBidi"/>
                <w:b/>
                <w:bCs/>
                <w:sz w:val="24"/>
                <w:szCs w:val="24"/>
              </w:rPr>
              <w:t>day</w:t>
            </w:r>
          </w:p>
        </w:tc>
        <w:tc>
          <w:tcPr>
            <w:tcW w:w="1229" w:type="pct"/>
          </w:tcPr>
          <w:p w14:paraId="4C74B042"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64.16±5.508</w:t>
            </w:r>
          </w:p>
        </w:tc>
        <w:tc>
          <w:tcPr>
            <w:tcW w:w="1229" w:type="pct"/>
          </w:tcPr>
          <w:p w14:paraId="339AAE7E"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60.6±6.860</w:t>
            </w:r>
          </w:p>
        </w:tc>
        <w:tc>
          <w:tcPr>
            <w:tcW w:w="755" w:type="pct"/>
          </w:tcPr>
          <w:p w14:paraId="5024DB6F"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0.005</w:t>
            </w:r>
          </w:p>
        </w:tc>
      </w:tr>
    </w:tbl>
    <w:p w14:paraId="68F1F276" w14:textId="5FDFC55C" w:rsidR="00427926" w:rsidRPr="00E040D1" w:rsidRDefault="00427926" w:rsidP="00E040D1">
      <w:pPr>
        <w:tabs>
          <w:tab w:val="right" w:pos="284"/>
          <w:tab w:val="left" w:pos="3572"/>
          <w:tab w:val="left" w:pos="8170"/>
        </w:tabs>
        <w:spacing w:line="276" w:lineRule="auto"/>
        <w:jc w:val="lowKashida"/>
        <w:rPr>
          <w:rFonts w:asciiTheme="majorBidi" w:hAnsiTheme="majorBidi" w:cstheme="majorBidi"/>
          <w:b/>
          <w:bCs/>
          <w:sz w:val="24"/>
          <w:szCs w:val="24"/>
          <w:lang w:bidi="ar-EG"/>
        </w:rPr>
      </w:pPr>
      <w:r w:rsidRPr="00E040D1">
        <w:rPr>
          <w:rFonts w:asciiTheme="majorBidi" w:hAnsiTheme="majorBidi" w:cstheme="majorBidi"/>
          <w:b/>
          <w:bCs/>
          <w:sz w:val="24"/>
          <w:szCs w:val="24"/>
          <w:lang w:bidi="ar-EG"/>
        </w:rPr>
        <w:t xml:space="preserve">Table 2. Comparison of laboratory </w:t>
      </w:r>
      <w:r w:rsidR="008415DC" w:rsidRPr="00E040D1">
        <w:rPr>
          <w:rFonts w:asciiTheme="majorBidi" w:hAnsiTheme="majorBidi" w:cstheme="majorBidi"/>
          <w:b/>
          <w:bCs/>
          <w:sz w:val="24"/>
          <w:szCs w:val="24"/>
          <w:lang w:bidi="ar-EG"/>
        </w:rPr>
        <w:t xml:space="preserve">and radiologic </w:t>
      </w:r>
      <w:r w:rsidRPr="00E040D1">
        <w:rPr>
          <w:rFonts w:asciiTheme="majorBidi" w:hAnsiTheme="majorBidi" w:cstheme="majorBidi"/>
          <w:b/>
          <w:bCs/>
          <w:sz w:val="24"/>
          <w:szCs w:val="24"/>
          <w:lang w:bidi="ar-EG"/>
        </w:rPr>
        <w:t>parameters on admission and 10</w:t>
      </w:r>
      <w:r w:rsidRPr="00E040D1">
        <w:rPr>
          <w:rFonts w:asciiTheme="majorBidi" w:hAnsiTheme="majorBidi" w:cstheme="majorBidi"/>
          <w:b/>
          <w:bCs/>
          <w:sz w:val="24"/>
          <w:szCs w:val="24"/>
          <w:vertAlign w:val="superscript"/>
          <w:lang w:bidi="ar-EG"/>
        </w:rPr>
        <w:t>th</w:t>
      </w:r>
      <w:r w:rsidRPr="00E040D1">
        <w:rPr>
          <w:rFonts w:asciiTheme="majorBidi" w:hAnsiTheme="majorBidi" w:cstheme="majorBidi"/>
          <w:b/>
          <w:bCs/>
          <w:sz w:val="24"/>
          <w:szCs w:val="24"/>
          <w:lang w:bidi="ar-EG"/>
        </w:rPr>
        <w:t xml:space="preserve"> day among studied groups.</w:t>
      </w:r>
    </w:p>
    <w:tbl>
      <w:tblPr>
        <w:tblStyle w:val="PlainTable2"/>
        <w:tblW w:w="5000" w:type="pct"/>
        <w:tblLook w:val="04A0" w:firstRow="1" w:lastRow="0" w:firstColumn="1" w:lastColumn="0" w:noHBand="0" w:noVBand="1"/>
      </w:tblPr>
      <w:tblGrid>
        <w:gridCol w:w="1470"/>
        <w:gridCol w:w="2030"/>
        <w:gridCol w:w="2213"/>
        <w:gridCol w:w="2527"/>
        <w:gridCol w:w="1120"/>
      </w:tblGrid>
      <w:tr w:rsidR="0030369A" w:rsidRPr="00E040D1" w14:paraId="7A3A6DF9" w14:textId="77777777" w:rsidTr="00B91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pct"/>
            <w:shd w:val="clear" w:color="auto" w:fill="auto"/>
          </w:tcPr>
          <w:p w14:paraId="24EF9B05" w14:textId="77777777" w:rsidR="00427926" w:rsidRPr="00E040D1" w:rsidRDefault="00427926" w:rsidP="00E040D1">
            <w:pPr>
              <w:spacing w:line="276" w:lineRule="auto"/>
              <w:rPr>
                <w:rFonts w:asciiTheme="majorBidi" w:hAnsiTheme="majorBidi" w:cstheme="majorBidi"/>
                <w:sz w:val="24"/>
                <w:szCs w:val="24"/>
              </w:rPr>
            </w:pPr>
          </w:p>
        </w:tc>
        <w:tc>
          <w:tcPr>
            <w:tcW w:w="1114" w:type="pct"/>
            <w:shd w:val="clear" w:color="auto" w:fill="auto"/>
          </w:tcPr>
          <w:p w14:paraId="171AD5DA" w14:textId="77777777" w:rsidR="00427926" w:rsidRPr="00E040D1" w:rsidRDefault="00427926" w:rsidP="00E040D1">
            <w:pPr>
              <w:spacing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211" w:type="pct"/>
            <w:shd w:val="clear" w:color="auto" w:fill="auto"/>
          </w:tcPr>
          <w:p w14:paraId="7B8AC729" w14:textId="77777777" w:rsidR="00427926" w:rsidRPr="00E040D1" w:rsidRDefault="00427926" w:rsidP="00E040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Group DEX</w:t>
            </w:r>
          </w:p>
        </w:tc>
        <w:tc>
          <w:tcPr>
            <w:tcW w:w="1379" w:type="pct"/>
            <w:shd w:val="clear" w:color="auto" w:fill="auto"/>
          </w:tcPr>
          <w:p w14:paraId="16076E3A" w14:textId="77777777" w:rsidR="00427926" w:rsidRPr="00E040D1" w:rsidRDefault="00427926" w:rsidP="00E040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Group SOL</w:t>
            </w:r>
          </w:p>
        </w:tc>
        <w:tc>
          <w:tcPr>
            <w:tcW w:w="627" w:type="pct"/>
            <w:shd w:val="clear" w:color="auto" w:fill="auto"/>
          </w:tcPr>
          <w:p w14:paraId="361C6423" w14:textId="77777777" w:rsidR="00427926" w:rsidRPr="00E040D1" w:rsidRDefault="00427926" w:rsidP="00E040D1">
            <w:pPr>
              <w:spacing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i/>
                <w:sz w:val="24"/>
                <w:szCs w:val="24"/>
              </w:rPr>
              <w:t>p</w:t>
            </w:r>
            <w:r w:rsidRPr="00E040D1">
              <w:rPr>
                <w:rFonts w:asciiTheme="majorBidi" w:hAnsiTheme="majorBidi" w:cstheme="majorBidi"/>
                <w:sz w:val="24"/>
                <w:szCs w:val="24"/>
              </w:rPr>
              <w:t>-value</w:t>
            </w:r>
          </w:p>
        </w:tc>
      </w:tr>
      <w:tr w:rsidR="0030369A" w:rsidRPr="00E040D1" w14:paraId="4AAC1C6B" w14:textId="77777777" w:rsidTr="00B91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pct"/>
            <w:vMerge w:val="restart"/>
            <w:shd w:val="clear" w:color="auto" w:fill="auto"/>
          </w:tcPr>
          <w:p w14:paraId="2E99F2CD" w14:textId="77777777" w:rsidR="00427926" w:rsidRPr="00E040D1" w:rsidRDefault="00427926" w:rsidP="00E040D1">
            <w:pPr>
              <w:spacing w:line="276" w:lineRule="auto"/>
              <w:jc w:val="center"/>
              <w:rPr>
                <w:rFonts w:asciiTheme="majorBidi" w:hAnsiTheme="majorBidi" w:cstheme="majorBidi"/>
                <w:sz w:val="24"/>
                <w:szCs w:val="24"/>
              </w:rPr>
            </w:pPr>
            <w:r w:rsidRPr="00E040D1">
              <w:rPr>
                <w:rFonts w:asciiTheme="majorBidi" w:hAnsiTheme="majorBidi" w:cstheme="majorBidi"/>
                <w:sz w:val="24"/>
                <w:szCs w:val="24"/>
              </w:rPr>
              <w:t>Hemoglobin</w:t>
            </w:r>
          </w:p>
        </w:tc>
        <w:tc>
          <w:tcPr>
            <w:tcW w:w="1114" w:type="pct"/>
            <w:shd w:val="clear" w:color="auto" w:fill="auto"/>
          </w:tcPr>
          <w:p w14:paraId="63047A5D"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On admission</w:t>
            </w:r>
          </w:p>
        </w:tc>
        <w:tc>
          <w:tcPr>
            <w:tcW w:w="1211" w:type="pct"/>
            <w:shd w:val="clear" w:color="auto" w:fill="auto"/>
          </w:tcPr>
          <w:p w14:paraId="3DD71E19"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10.94±1.67</w:t>
            </w:r>
          </w:p>
        </w:tc>
        <w:tc>
          <w:tcPr>
            <w:tcW w:w="1379" w:type="pct"/>
            <w:shd w:val="clear" w:color="auto" w:fill="auto"/>
          </w:tcPr>
          <w:p w14:paraId="00AA7689"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10.97±1.60</w:t>
            </w:r>
          </w:p>
        </w:tc>
        <w:tc>
          <w:tcPr>
            <w:tcW w:w="627" w:type="pct"/>
            <w:shd w:val="clear" w:color="auto" w:fill="auto"/>
          </w:tcPr>
          <w:p w14:paraId="269203E5"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0.93</w:t>
            </w:r>
          </w:p>
        </w:tc>
      </w:tr>
      <w:tr w:rsidR="0030369A" w:rsidRPr="00E040D1" w14:paraId="25C3E005" w14:textId="77777777" w:rsidTr="00B91610">
        <w:tc>
          <w:tcPr>
            <w:cnfStyle w:val="001000000000" w:firstRow="0" w:lastRow="0" w:firstColumn="1" w:lastColumn="0" w:oddVBand="0" w:evenVBand="0" w:oddHBand="0" w:evenHBand="0" w:firstRowFirstColumn="0" w:firstRowLastColumn="0" w:lastRowFirstColumn="0" w:lastRowLastColumn="0"/>
            <w:tcW w:w="669" w:type="pct"/>
            <w:vMerge/>
            <w:shd w:val="clear" w:color="auto" w:fill="auto"/>
          </w:tcPr>
          <w:p w14:paraId="47CB0B00" w14:textId="77777777" w:rsidR="00427926" w:rsidRPr="00E040D1" w:rsidRDefault="00427926" w:rsidP="00E040D1">
            <w:pPr>
              <w:spacing w:line="276" w:lineRule="auto"/>
              <w:jc w:val="center"/>
              <w:rPr>
                <w:rFonts w:asciiTheme="majorBidi" w:hAnsiTheme="majorBidi" w:cstheme="majorBidi"/>
                <w:sz w:val="24"/>
                <w:szCs w:val="24"/>
              </w:rPr>
            </w:pPr>
          </w:p>
        </w:tc>
        <w:tc>
          <w:tcPr>
            <w:tcW w:w="1114" w:type="pct"/>
            <w:shd w:val="clear" w:color="auto" w:fill="auto"/>
          </w:tcPr>
          <w:p w14:paraId="5371E427"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On 10th day</w:t>
            </w:r>
          </w:p>
        </w:tc>
        <w:tc>
          <w:tcPr>
            <w:tcW w:w="1211" w:type="pct"/>
            <w:shd w:val="clear" w:color="auto" w:fill="auto"/>
          </w:tcPr>
          <w:p w14:paraId="534A8E40"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10.15±1.50</w:t>
            </w:r>
          </w:p>
        </w:tc>
        <w:tc>
          <w:tcPr>
            <w:tcW w:w="1379" w:type="pct"/>
            <w:shd w:val="clear" w:color="auto" w:fill="auto"/>
          </w:tcPr>
          <w:p w14:paraId="6E3FFE2C"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10.212±1.58</w:t>
            </w:r>
          </w:p>
        </w:tc>
        <w:tc>
          <w:tcPr>
            <w:tcW w:w="627" w:type="pct"/>
            <w:shd w:val="clear" w:color="auto" w:fill="auto"/>
          </w:tcPr>
          <w:p w14:paraId="2806BE6B"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0.85</w:t>
            </w:r>
          </w:p>
        </w:tc>
      </w:tr>
      <w:tr w:rsidR="0030369A" w:rsidRPr="00E040D1" w14:paraId="32326FF9" w14:textId="77777777" w:rsidTr="00B91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pct"/>
            <w:vMerge w:val="restart"/>
            <w:shd w:val="clear" w:color="auto" w:fill="auto"/>
          </w:tcPr>
          <w:p w14:paraId="6675EECA" w14:textId="77777777" w:rsidR="00427926" w:rsidRPr="00E040D1" w:rsidRDefault="00427926" w:rsidP="00E040D1">
            <w:pPr>
              <w:spacing w:line="276" w:lineRule="auto"/>
              <w:jc w:val="center"/>
              <w:rPr>
                <w:rFonts w:asciiTheme="majorBidi" w:hAnsiTheme="majorBidi" w:cstheme="majorBidi"/>
                <w:sz w:val="24"/>
                <w:szCs w:val="24"/>
              </w:rPr>
            </w:pPr>
            <w:r w:rsidRPr="00E040D1">
              <w:rPr>
                <w:rFonts w:asciiTheme="majorBidi" w:hAnsiTheme="majorBidi" w:cstheme="majorBidi"/>
                <w:sz w:val="24"/>
                <w:szCs w:val="24"/>
              </w:rPr>
              <w:t>Platelets</w:t>
            </w:r>
          </w:p>
        </w:tc>
        <w:tc>
          <w:tcPr>
            <w:tcW w:w="1114" w:type="pct"/>
            <w:shd w:val="clear" w:color="auto" w:fill="auto"/>
          </w:tcPr>
          <w:p w14:paraId="5556A674"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On admission</w:t>
            </w:r>
          </w:p>
        </w:tc>
        <w:tc>
          <w:tcPr>
            <w:tcW w:w="1211" w:type="pct"/>
            <w:shd w:val="clear" w:color="auto" w:fill="auto"/>
          </w:tcPr>
          <w:p w14:paraId="783C9FA1"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291.1±71.39</w:t>
            </w:r>
          </w:p>
        </w:tc>
        <w:tc>
          <w:tcPr>
            <w:tcW w:w="1379" w:type="pct"/>
            <w:shd w:val="clear" w:color="auto" w:fill="auto"/>
          </w:tcPr>
          <w:p w14:paraId="48C4EE7B"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290.4±83.08</w:t>
            </w:r>
          </w:p>
        </w:tc>
        <w:tc>
          <w:tcPr>
            <w:tcW w:w="627" w:type="pct"/>
            <w:shd w:val="clear" w:color="auto" w:fill="auto"/>
          </w:tcPr>
          <w:p w14:paraId="45FDBC6D"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0.96</w:t>
            </w:r>
          </w:p>
        </w:tc>
      </w:tr>
      <w:tr w:rsidR="0030369A" w:rsidRPr="00E040D1" w14:paraId="68D53E8D" w14:textId="77777777" w:rsidTr="00B91610">
        <w:tc>
          <w:tcPr>
            <w:cnfStyle w:val="001000000000" w:firstRow="0" w:lastRow="0" w:firstColumn="1" w:lastColumn="0" w:oddVBand="0" w:evenVBand="0" w:oddHBand="0" w:evenHBand="0" w:firstRowFirstColumn="0" w:firstRowLastColumn="0" w:lastRowFirstColumn="0" w:lastRowLastColumn="0"/>
            <w:tcW w:w="669" w:type="pct"/>
            <w:vMerge/>
            <w:shd w:val="clear" w:color="auto" w:fill="auto"/>
          </w:tcPr>
          <w:p w14:paraId="53FE7D25" w14:textId="77777777" w:rsidR="00427926" w:rsidRPr="00E040D1" w:rsidRDefault="00427926" w:rsidP="00E040D1">
            <w:pPr>
              <w:spacing w:line="276" w:lineRule="auto"/>
              <w:jc w:val="center"/>
              <w:rPr>
                <w:rFonts w:asciiTheme="majorBidi" w:hAnsiTheme="majorBidi" w:cstheme="majorBidi"/>
                <w:sz w:val="24"/>
                <w:szCs w:val="24"/>
              </w:rPr>
            </w:pPr>
          </w:p>
        </w:tc>
        <w:tc>
          <w:tcPr>
            <w:tcW w:w="1114" w:type="pct"/>
            <w:shd w:val="clear" w:color="auto" w:fill="auto"/>
          </w:tcPr>
          <w:p w14:paraId="6513DE8A"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On 10th day</w:t>
            </w:r>
          </w:p>
        </w:tc>
        <w:tc>
          <w:tcPr>
            <w:tcW w:w="1211" w:type="pct"/>
            <w:shd w:val="clear" w:color="auto" w:fill="auto"/>
          </w:tcPr>
          <w:p w14:paraId="464D35C4"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243.5±85.53</w:t>
            </w:r>
          </w:p>
        </w:tc>
        <w:tc>
          <w:tcPr>
            <w:tcW w:w="1379" w:type="pct"/>
            <w:shd w:val="clear" w:color="auto" w:fill="auto"/>
          </w:tcPr>
          <w:p w14:paraId="1B146DAE"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219.1±88.124</w:t>
            </w:r>
          </w:p>
        </w:tc>
        <w:tc>
          <w:tcPr>
            <w:tcW w:w="627" w:type="pct"/>
            <w:shd w:val="clear" w:color="auto" w:fill="auto"/>
          </w:tcPr>
          <w:p w14:paraId="79C07F01"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0.16</w:t>
            </w:r>
          </w:p>
        </w:tc>
      </w:tr>
      <w:tr w:rsidR="0030369A" w:rsidRPr="00E040D1" w14:paraId="4F4A28FF" w14:textId="77777777" w:rsidTr="00B91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pct"/>
            <w:vMerge w:val="restart"/>
            <w:shd w:val="clear" w:color="auto" w:fill="auto"/>
          </w:tcPr>
          <w:p w14:paraId="57CD845B" w14:textId="77777777" w:rsidR="00427926" w:rsidRPr="00E040D1" w:rsidRDefault="00427926" w:rsidP="00E040D1">
            <w:pPr>
              <w:spacing w:line="276" w:lineRule="auto"/>
              <w:jc w:val="center"/>
              <w:rPr>
                <w:rFonts w:asciiTheme="majorBidi" w:hAnsiTheme="majorBidi" w:cstheme="majorBidi"/>
                <w:sz w:val="24"/>
                <w:szCs w:val="24"/>
              </w:rPr>
            </w:pPr>
            <w:r w:rsidRPr="00E040D1">
              <w:rPr>
                <w:rFonts w:asciiTheme="majorBidi" w:hAnsiTheme="majorBidi" w:cstheme="majorBidi"/>
                <w:sz w:val="24"/>
                <w:szCs w:val="24"/>
              </w:rPr>
              <w:t>TLC</w:t>
            </w:r>
          </w:p>
        </w:tc>
        <w:tc>
          <w:tcPr>
            <w:tcW w:w="1114" w:type="pct"/>
            <w:shd w:val="clear" w:color="auto" w:fill="auto"/>
          </w:tcPr>
          <w:p w14:paraId="025B8ECC"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On admission</w:t>
            </w:r>
          </w:p>
        </w:tc>
        <w:tc>
          <w:tcPr>
            <w:tcW w:w="1211" w:type="pct"/>
            <w:shd w:val="clear" w:color="auto" w:fill="auto"/>
          </w:tcPr>
          <w:p w14:paraId="0D81E5A1"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14.94±6.37</w:t>
            </w:r>
          </w:p>
        </w:tc>
        <w:tc>
          <w:tcPr>
            <w:tcW w:w="1379" w:type="pct"/>
            <w:shd w:val="clear" w:color="auto" w:fill="auto"/>
          </w:tcPr>
          <w:p w14:paraId="4B5309D6"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17.13±6.77</w:t>
            </w:r>
          </w:p>
        </w:tc>
        <w:tc>
          <w:tcPr>
            <w:tcW w:w="627" w:type="pct"/>
            <w:shd w:val="clear" w:color="auto" w:fill="auto"/>
          </w:tcPr>
          <w:p w14:paraId="4BAD3800"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0.98</w:t>
            </w:r>
          </w:p>
        </w:tc>
      </w:tr>
      <w:tr w:rsidR="0030369A" w:rsidRPr="00E040D1" w14:paraId="21489E0F" w14:textId="77777777" w:rsidTr="00B91610">
        <w:tc>
          <w:tcPr>
            <w:cnfStyle w:val="001000000000" w:firstRow="0" w:lastRow="0" w:firstColumn="1" w:lastColumn="0" w:oddVBand="0" w:evenVBand="0" w:oddHBand="0" w:evenHBand="0" w:firstRowFirstColumn="0" w:firstRowLastColumn="0" w:lastRowFirstColumn="0" w:lastRowLastColumn="0"/>
            <w:tcW w:w="669" w:type="pct"/>
            <w:vMerge/>
            <w:shd w:val="clear" w:color="auto" w:fill="auto"/>
          </w:tcPr>
          <w:p w14:paraId="6B13A609" w14:textId="77777777" w:rsidR="00427926" w:rsidRPr="00E040D1" w:rsidRDefault="00427926" w:rsidP="00E040D1">
            <w:pPr>
              <w:spacing w:line="276" w:lineRule="auto"/>
              <w:jc w:val="center"/>
              <w:rPr>
                <w:rFonts w:asciiTheme="majorBidi" w:hAnsiTheme="majorBidi" w:cstheme="majorBidi"/>
                <w:sz w:val="24"/>
                <w:szCs w:val="24"/>
              </w:rPr>
            </w:pPr>
          </w:p>
        </w:tc>
        <w:tc>
          <w:tcPr>
            <w:tcW w:w="1114" w:type="pct"/>
            <w:shd w:val="clear" w:color="auto" w:fill="auto"/>
          </w:tcPr>
          <w:p w14:paraId="6BD59A95"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On 10th day</w:t>
            </w:r>
          </w:p>
        </w:tc>
        <w:tc>
          <w:tcPr>
            <w:tcW w:w="1211" w:type="pct"/>
            <w:shd w:val="clear" w:color="auto" w:fill="auto"/>
          </w:tcPr>
          <w:p w14:paraId="7C9834F2"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14.048±5.56</w:t>
            </w:r>
          </w:p>
        </w:tc>
        <w:tc>
          <w:tcPr>
            <w:tcW w:w="1379" w:type="pct"/>
            <w:shd w:val="clear" w:color="auto" w:fill="auto"/>
          </w:tcPr>
          <w:p w14:paraId="76341AA0"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15.206±4.71</w:t>
            </w:r>
          </w:p>
        </w:tc>
        <w:tc>
          <w:tcPr>
            <w:tcW w:w="627" w:type="pct"/>
            <w:shd w:val="clear" w:color="auto" w:fill="auto"/>
          </w:tcPr>
          <w:p w14:paraId="47EE6FEC"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0.26</w:t>
            </w:r>
          </w:p>
        </w:tc>
      </w:tr>
      <w:tr w:rsidR="0030369A" w:rsidRPr="00E040D1" w14:paraId="033E78F7" w14:textId="77777777" w:rsidTr="00B91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pct"/>
            <w:vMerge w:val="restart"/>
            <w:shd w:val="clear" w:color="auto" w:fill="auto"/>
          </w:tcPr>
          <w:p w14:paraId="79E45972" w14:textId="77777777" w:rsidR="00427926" w:rsidRPr="00E040D1" w:rsidRDefault="00427926" w:rsidP="00E040D1">
            <w:pPr>
              <w:spacing w:line="276" w:lineRule="auto"/>
              <w:jc w:val="center"/>
              <w:rPr>
                <w:rFonts w:asciiTheme="majorBidi" w:hAnsiTheme="majorBidi" w:cstheme="majorBidi"/>
                <w:sz w:val="24"/>
                <w:szCs w:val="24"/>
              </w:rPr>
            </w:pPr>
            <w:bookmarkStart w:id="24" w:name="_Hlk94206093"/>
            <w:r w:rsidRPr="00E040D1">
              <w:rPr>
                <w:rFonts w:asciiTheme="majorBidi" w:hAnsiTheme="majorBidi" w:cstheme="majorBidi"/>
                <w:sz w:val="24"/>
                <w:szCs w:val="24"/>
              </w:rPr>
              <w:t>Urea</w:t>
            </w:r>
          </w:p>
        </w:tc>
        <w:tc>
          <w:tcPr>
            <w:tcW w:w="1114" w:type="pct"/>
            <w:shd w:val="clear" w:color="auto" w:fill="auto"/>
          </w:tcPr>
          <w:p w14:paraId="48486CDD"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On admission</w:t>
            </w:r>
          </w:p>
        </w:tc>
        <w:tc>
          <w:tcPr>
            <w:tcW w:w="1211" w:type="pct"/>
            <w:shd w:val="clear" w:color="auto" w:fill="auto"/>
          </w:tcPr>
          <w:p w14:paraId="1D853D45"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84.72±57.55</w:t>
            </w:r>
          </w:p>
        </w:tc>
        <w:tc>
          <w:tcPr>
            <w:tcW w:w="1379" w:type="pct"/>
            <w:shd w:val="clear" w:color="auto" w:fill="auto"/>
          </w:tcPr>
          <w:p w14:paraId="1B8C3186"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81.7±47.70</w:t>
            </w:r>
          </w:p>
        </w:tc>
        <w:tc>
          <w:tcPr>
            <w:tcW w:w="627" w:type="pct"/>
            <w:shd w:val="clear" w:color="auto" w:fill="auto"/>
          </w:tcPr>
          <w:p w14:paraId="6C5490A8"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0.77</w:t>
            </w:r>
          </w:p>
        </w:tc>
      </w:tr>
      <w:tr w:rsidR="0030369A" w:rsidRPr="00E040D1" w14:paraId="408BEE5D" w14:textId="77777777" w:rsidTr="00B91610">
        <w:tc>
          <w:tcPr>
            <w:cnfStyle w:val="001000000000" w:firstRow="0" w:lastRow="0" w:firstColumn="1" w:lastColumn="0" w:oddVBand="0" w:evenVBand="0" w:oddHBand="0" w:evenHBand="0" w:firstRowFirstColumn="0" w:firstRowLastColumn="0" w:lastRowFirstColumn="0" w:lastRowLastColumn="0"/>
            <w:tcW w:w="669" w:type="pct"/>
            <w:vMerge/>
            <w:shd w:val="clear" w:color="auto" w:fill="auto"/>
          </w:tcPr>
          <w:p w14:paraId="0EB35FFE" w14:textId="77777777" w:rsidR="00427926" w:rsidRPr="00E040D1" w:rsidRDefault="00427926" w:rsidP="00E040D1">
            <w:pPr>
              <w:spacing w:line="276" w:lineRule="auto"/>
              <w:jc w:val="center"/>
              <w:rPr>
                <w:rFonts w:asciiTheme="majorBidi" w:hAnsiTheme="majorBidi" w:cstheme="majorBidi"/>
                <w:sz w:val="24"/>
                <w:szCs w:val="24"/>
              </w:rPr>
            </w:pPr>
          </w:p>
        </w:tc>
        <w:tc>
          <w:tcPr>
            <w:tcW w:w="1114" w:type="pct"/>
            <w:shd w:val="clear" w:color="auto" w:fill="auto"/>
          </w:tcPr>
          <w:p w14:paraId="127658F6"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On 10th day</w:t>
            </w:r>
          </w:p>
        </w:tc>
        <w:tc>
          <w:tcPr>
            <w:tcW w:w="1211" w:type="pct"/>
            <w:shd w:val="clear" w:color="auto" w:fill="auto"/>
          </w:tcPr>
          <w:p w14:paraId="613F9CFF"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35.08±10.94</w:t>
            </w:r>
          </w:p>
        </w:tc>
        <w:tc>
          <w:tcPr>
            <w:tcW w:w="1379" w:type="pct"/>
            <w:shd w:val="clear" w:color="auto" w:fill="auto"/>
          </w:tcPr>
          <w:p w14:paraId="6076D55A"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37.66±12.35</w:t>
            </w:r>
          </w:p>
        </w:tc>
        <w:tc>
          <w:tcPr>
            <w:tcW w:w="627" w:type="pct"/>
            <w:shd w:val="clear" w:color="auto" w:fill="auto"/>
          </w:tcPr>
          <w:p w14:paraId="49E3BB0E"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0.27</w:t>
            </w:r>
          </w:p>
        </w:tc>
      </w:tr>
      <w:bookmarkEnd w:id="24"/>
      <w:tr w:rsidR="0030369A" w:rsidRPr="00E040D1" w14:paraId="092F15D1" w14:textId="77777777" w:rsidTr="00B91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pct"/>
            <w:vMerge w:val="restart"/>
            <w:shd w:val="clear" w:color="auto" w:fill="auto"/>
          </w:tcPr>
          <w:p w14:paraId="53443D4D" w14:textId="77777777" w:rsidR="00427926" w:rsidRPr="00E040D1" w:rsidRDefault="00427926" w:rsidP="00E040D1">
            <w:pPr>
              <w:spacing w:line="276" w:lineRule="auto"/>
              <w:jc w:val="center"/>
              <w:rPr>
                <w:rFonts w:asciiTheme="majorBidi" w:hAnsiTheme="majorBidi" w:cstheme="majorBidi"/>
                <w:sz w:val="24"/>
                <w:szCs w:val="24"/>
              </w:rPr>
            </w:pPr>
            <w:r w:rsidRPr="00E040D1">
              <w:rPr>
                <w:rFonts w:asciiTheme="majorBidi" w:hAnsiTheme="majorBidi" w:cstheme="majorBidi"/>
                <w:sz w:val="24"/>
                <w:szCs w:val="24"/>
              </w:rPr>
              <w:t>Create.</w:t>
            </w:r>
          </w:p>
        </w:tc>
        <w:tc>
          <w:tcPr>
            <w:tcW w:w="1114" w:type="pct"/>
            <w:shd w:val="clear" w:color="auto" w:fill="auto"/>
          </w:tcPr>
          <w:p w14:paraId="7BF092CD"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On admission</w:t>
            </w:r>
          </w:p>
        </w:tc>
        <w:tc>
          <w:tcPr>
            <w:tcW w:w="1211" w:type="pct"/>
            <w:shd w:val="clear" w:color="auto" w:fill="auto"/>
          </w:tcPr>
          <w:p w14:paraId="573CCEE3"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2.34±1.393</w:t>
            </w:r>
          </w:p>
        </w:tc>
        <w:tc>
          <w:tcPr>
            <w:tcW w:w="1379" w:type="pct"/>
            <w:shd w:val="clear" w:color="auto" w:fill="auto"/>
          </w:tcPr>
          <w:p w14:paraId="52D9C397"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2.61±1.38</w:t>
            </w:r>
          </w:p>
        </w:tc>
        <w:tc>
          <w:tcPr>
            <w:tcW w:w="627" w:type="pct"/>
            <w:shd w:val="clear" w:color="auto" w:fill="auto"/>
          </w:tcPr>
          <w:p w14:paraId="07314BA1"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0.33</w:t>
            </w:r>
          </w:p>
        </w:tc>
      </w:tr>
      <w:tr w:rsidR="0030369A" w:rsidRPr="00E040D1" w14:paraId="478E282E" w14:textId="77777777" w:rsidTr="00B91610">
        <w:tc>
          <w:tcPr>
            <w:cnfStyle w:val="001000000000" w:firstRow="0" w:lastRow="0" w:firstColumn="1" w:lastColumn="0" w:oddVBand="0" w:evenVBand="0" w:oddHBand="0" w:evenHBand="0" w:firstRowFirstColumn="0" w:firstRowLastColumn="0" w:lastRowFirstColumn="0" w:lastRowLastColumn="0"/>
            <w:tcW w:w="669" w:type="pct"/>
            <w:vMerge/>
            <w:shd w:val="clear" w:color="auto" w:fill="auto"/>
          </w:tcPr>
          <w:p w14:paraId="6E649A7C" w14:textId="77777777" w:rsidR="00427926" w:rsidRPr="00E040D1" w:rsidRDefault="00427926" w:rsidP="00E040D1">
            <w:pPr>
              <w:spacing w:line="276" w:lineRule="auto"/>
              <w:jc w:val="center"/>
              <w:rPr>
                <w:rFonts w:asciiTheme="majorBidi" w:hAnsiTheme="majorBidi" w:cstheme="majorBidi"/>
                <w:sz w:val="24"/>
                <w:szCs w:val="24"/>
              </w:rPr>
            </w:pPr>
          </w:p>
        </w:tc>
        <w:tc>
          <w:tcPr>
            <w:tcW w:w="1114" w:type="pct"/>
            <w:shd w:val="clear" w:color="auto" w:fill="auto"/>
          </w:tcPr>
          <w:p w14:paraId="248783A8"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On 10</w:t>
            </w:r>
            <w:r w:rsidRPr="00E040D1">
              <w:rPr>
                <w:rFonts w:asciiTheme="majorBidi" w:hAnsiTheme="majorBidi" w:cstheme="majorBidi"/>
                <w:b/>
                <w:bCs/>
                <w:sz w:val="24"/>
                <w:szCs w:val="24"/>
                <w:vertAlign w:val="superscript"/>
              </w:rPr>
              <w:t xml:space="preserve">th </w:t>
            </w:r>
            <w:r w:rsidRPr="00E040D1">
              <w:rPr>
                <w:rFonts w:asciiTheme="majorBidi" w:hAnsiTheme="majorBidi" w:cstheme="majorBidi"/>
                <w:b/>
                <w:bCs/>
                <w:sz w:val="24"/>
                <w:szCs w:val="24"/>
              </w:rPr>
              <w:t>day</w:t>
            </w:r>
          </w:p>
        </w:tc>
        <w:tc>
          <w:tcPr>
            <w:tcW w:w="1211" w:type="pct"/>
            <w:shd w:val="clear" w:color="auto" w:fill="auto"/>
          </w:tcPr>
          <w:p w14:paraId="7DD27A33"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2.32±1.69</w:t>
            </w:r>
          </w:p>
        </w:tc>
        <w:tc>
          <w:tcPr>
            <w:tcW w:w="1379" w:type="pct"/>
            <w:shd w:val="clear" w:color="auto" w:fill="auto"/>
          </w:tcPr>
          <w:p w14:paraId="0EA7033F"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2.12±1.218</w:t>
            </w:r>
          </w:p>
        </w:tc>
        <w:tc>
          <w:tcPr>
            <w:tcW w:w="627" w:type="pct"/>
            <w:shd w:val="clear" w:color="auto" w:fill="auto"/>
          </w:tcPr>
          <w:p w14:paraId="38344029"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0.49</w:t>
            </w:r>
          </w:p>
        </w:tc>
      </w:tr>
      <w:tr w:rsidR="0030369A" w:rsidRPr="00E040D1" w14:paraId="6BF60593" w14:textId="77777777" w:rsidTr="00B91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pct"/>
            <w:vMerge w:val="restart"/>
            <w:shd w:val="clear" w:color="auto" w:fill="auto"/>
          </w:tcPr>
          <w:p w14:paraId="33A84AE6" w14:textId="77777777" w:rsidR="00427926" w:rsidRPr="00E040D1" w:rsidRDefault="00427926" w:rsidP="00E040D1">
            <w:pPr>
              <w:spacing w:line="276" w:lineRule="auto"/>
              <w:jc w:val="center"/>
              <w:rPr>
                <w:rFonts w:asciiTheme="majorBidi" w:hAnsiTheme="majorBidi" w:cstheme="majorBidi"/>
                <w:sz w:val="24"/>
                <w:szCs w:val="24"/>
              </w:rPr>
            </w:pPr>
            <w:r w:rsidRPr="00E040D1">
              <w:rPr>
                <w:rFonts w:asciiTheme="majorBidi" w:hAnsiTheme="majorBidi" w:cstheme="majorBidi"/>
                <w:sz w:val="24"/>
                <w:szCs w:val="24"/>
              </w:rPr>
              <w:t>Alb.</w:t>
            </w:r>
          </w:p>
        </w:tc>
        <w:tc>
          <w:tcPr>
            <w:tcW w:w="1114" w:type="pct"/>
            <w:shd w:val="clear" w:color="auto" w:fill="auto"/>
          </w:tcPr>
          <w:p w14:paraId="5A4E1964"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On admission</w:t>
            </w:r>
          </w:p>
        </w:tc>
        <w:tc>
          <w:tcPr>
            <w:tcW w:w="1211" w:type="pct"/>
            <w:shd w:val="clear" w:color="auto" w:fill="auto"/>
          </w:tcPr>
          <w:p w14:paraId="0131083E"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3.29±0.543</w:t>
            </w:r>
          </w:p>
        </w:tc>
        <w:tc>
          <w:tcPr>
            <w:tcW w:w="1379" w:type="pct"/>
            <w:shd w:val="clear" w:color="auto" w:fill="auto"/>
          </w:tcPr>
          <w:p w14:paraId="5115F01D"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3.26±0.635</w:t>
            </w:r>
          </w:p>
        </w:tc>
        <w:tc>
          <w:tcPr>
            <w:tcW w:w="627" w:type="pct"/>
            <w:shd w:val="clear" w:color="auto" w:fill="auto"/>
          </w:tcPr>
          <w:p w14:paraId="51A96E37"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0.76</w:t>
            </w:r>
          </w:p>
        </w:tc>
      </w:tr>
      <w:tr w:rsidR="0030369A" w:rsidRPr="00E040D1" w14:paraId="454750A2" w14:textId="77777777" w:rsidTr="00B91610">
        <w:tc>
          <w:tcPr>
            <w:cnfStyle w:val="001000000000" w:firstRow="0" w:lastRow="0" w:firstColumn="1" w:lastColumn="0" w:oddVBand="0" w:evenVBand="0" w:oddHBand="0" w:evenHBand="0" w:firstRowFirstColumn="0" w:firstRowLastColumn="0" w:lastRowFirstColumn="0" w:lastRowLastColumn="0"/>
            <w:tcW w:w="669" w:type="pct"/>
            <w:vMerge/>
            <w:shd w:val="clear" w:color="auto" w:fill="auto"/>
          </w:tcPr>
          <w:p w14:paraId="5840D130" w14:textId="77777777" w:rsidR="00427926" w:rsidRPr="00E040D1" w:rsidRDefault="00427926" w:rsidP="00E040D1">
            <w:pPr>
              <w:spacing w:line="276" w:lineRule="auto"/>
              <w:jc w:val="center"/>
              <w:rPr>
                <w:rFonts w:asciiTheme="majorBidi" w:hAnsiTheme="majorBidi" w:cstheme="majorBidi"/>
                <w:sz w:val="24"/>
                <w:szCs w:val="24"/>
              </w:rPr>
            </w:pPr>
          </w:p>
        </w:tc>
        <w:tc>
          <w:tcPr>
            <w:tcW w:w="1114" w:type="pct"/>
            <w:shd w:val="clear" w:color="auto" w:fill="auto"/>
          </w:tcPr>
          <w:p w14:paraId="49A5F0C9"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On 10</w:t>
            </w:r>
            <w:r w:rsidRPr="00E040D1">
              <w:rPr>
                <w:rFonts w:asciiTheme="majorBidi" w:hAnsiTheme="majorBidi" w:cstheme="majorBidi"/>
                <w:b/>
                <w:bCs/>
                <w:sz w:val="24"/>
                <w:szCs w:val="24"/>
                <w:vertAlign w:val="superscript"/>
              </w:rPr>
              <w:t xml:space="preserve">th </w:t>
            </w:r>
            <w:r w:rsidRPr="00E040D1">
              <w:rPr>
                <w:rFonts w:asciiTheme="majorBidi" w:hAnsiTheme="majorBidi" w:cstheme="majorBidi"/>
                <w:b/>
                <w:bCs/>
                <w:sz w:val="24"/>
                <w:szCs w:val="24"/>
              </w:rPr>
              <w:t>day</w:t>
            </w:r>
          </w:p>
        </w:tc>
        <w:tc>
          <w:tcPr>
            <w:tcW w:w="1211" w:type="pct"/>
            <w:shd w:val="clear" w:color="auto" w:fill="auto"/>
          </w:tcPr>
          <w:p w14:paraId="7E131A65"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3.30±0.504</w:t>
            </w:r>
          </w:p>
        </w:tc>
        <w:tc>
          <w:tcPr>
            <w:tcW w:w="1379" w:type="pct"/>
            <w:shd w:val="clear" w:color="auto" w:fill="auto"/>
          </w:tcPr>
          <w:p w14:paraId="3DE88A8E"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3.19±0.537</w:t>
            </w:r>
          </w:p>
        </w:tc>
        <w:tc>
          <w:tcPr>
            <w:tcW w:w="627" w:type="pct"/>
            <w:shd w:val="clear" w:color="auto" w:fill="auto"/>
          </w:tcPr>
          <w:p w14:paraId="1D1838CA"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0.60</w:t>
            </w:r>
          </w:p>
        </w:tc>
      </w:tr>
      <w:tr w:rsidR="0030369A" w:rsidRPr="00E040D1" w14:paraId="428A6D57" w14:textId="77777777" w:rsidTr="00B91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pct"/>
            <w:vMerge w:val="restart"/>
            <w:shd w:val="clear" w:color="auto" w:fill="auto"/>
          </w:tcPr>
          <w:p w14:paraId="5BED39FB" w14:textId="77777777" w:rsidR="00427926" w:rsidRPr="00E040D1" w:rsidRDefault="00427926" w:rsidP="00E040D1">
            <w:pPr>
              <w:spacing w:line="276" w:lineRule="auto"/>
              <w:jc w:val="center"/>
              <w:rPr>
                <w:rFonts w:asciiTheme="majorBidi" w:hAnsiTheme="majorBidi" w:cstheme="majorBidi"/>
                <w:sz w:val="24"/>
                <w:szCs w:val="24"/>
              </w:rPr>
            </w:pPr>
            <w:r w:rsidRPr="00E040D1">
              <w:rPr>
                <w:rFonts w:asciiTheme="majorBidi" w:hAnsiTheme="majorBidi" w:cstheme="majorBidi"/>
                <w:sz w:val="24"/>
                <w:szCs w:val="24"/>
              </w:rPr>
              <w:t>ALT</w:t>
            </w:r>
          </w:p>
        </w:tc>
        <w:tc>
          <w:tcPr>
            <w:tcW w:w="1114" w:type="pct"/>
            <w:shd w:val="clear" w:color="auto" w:fill="auto"/>
          </w:tcPr>
          <w:p w14:paraId="36D637F0"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On admission</w:t>
            </w:r>
          </w:p>
        </w:tc>
        <w:tc>
          <w:tcPr>
            <w:tcW w:w="1211" w:type="pct"/>
            <w:shd w:val="clear" w:color="auto" w:fill="auto"/>
          </w:tcPr>
          <w:p w14:paraId="532CBF4A"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35.58±9.926</w:t>
            </w:r>
          </w:p>
        </w:tc>
        <w:tc>
          <w:tcPr>
            <w:tcW w:w="1379" w:type="pct"/>
            <w:shd w:val="clear" w:color="auto" w:fill="auto"/>
          </w:tcPr>
          <w:p w14:paraId="76B35032"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36.14±10.33</w:t>
            </w:r>
          </w:p>
        </w:tc>
        <w:tc>
          <w:tcPr>
            <w:tcW w:w="627" w:type="pct"/>
            <w:shd w:val="clear" w:color="auto" w:fill="auto"/>
          </w:tcPr>
          <w:p w14:paraId="581897F5"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0.78</w:t>
            </w:r>
          </w:p>
        </w:tc>
      </w:tr>
      <w:tr w:rsidR="0030369A" w:rsidRPr="00E040D1" w14:paraId="67CE136D" w14:textId="77777777" w:rsidTr="00B91610">
        <w:tc>
          <w:tcPr>
            <w:cnfStyle w:val="001000000000" w:firstRow="0" w:lastRow="0" w:firstColumn="1" w:lastColumn="0" w:oddVBand="0" w:evenVBand="0" w:oddHBand="0" w:evenHBand="0" w:firstRowFirstColumn="0" w:firstRowLastColumn="0" w:lastRowFirstColumn="0" w:lastRowLastColumn="0"/>
            <w:tcW w:w="669" w:type="pct"/>
            <w:vMerge/>
            <w:shd w:val="clear" w:color="auto" w:fill="auto"/>
          </w:tcPr>
          <w:p w14:paraId="53918C8E" w14:textId="77777777" w:rsidR="00427926" w:rsidRPr="00E040D1" w:rsidRDefault="00427926" w:rsidP="00E040D1">
            <w:pPr>
              <w:spacing w:line="276" w:lineRule="auto"/>
              <w:jc w:val="center"/>
              <w:rPr>
                <w:rFonts w:asciiTheme="majorBidi" w:hAnsiTheme="majorBidi" w:cstheme="majorBidi"/>
                <w:sz w:val="24"/>
                <w:szCs w:val="24"/>
              </w:rPr>
            </w:pPr>
          </w:p>
        </w:tc>
        <w:tc>
          <w:tcPr>
            <w:tcW w:w="1114" w:type="pct"/>
            <w:shd w:val="clear" w:color="auto" w:fill="auto"/>
          </w:tcPr>
          <w:p w14:paraId="11C9F749"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On 10</w:t>
            </w:r>
            <w:r w:rsidRPr="00E040D1">
              <w:rPr>
                <w:rFonts w:asciiTheme="majorBidi" w:hAnsiTheme="majorBidi" w:cstheme="majorBidi"/>
                <w:b/>
                <w:bCs/>
                <w:sz w:val="24"/>
                <w:szCs w:val="24"/>
                <w:vertAlign w:val="superscript"/>
              </w:rPr>
              <w:t xml:space="preserve">th </w:t>
            </w:r>
            <w:r w:rsidRPr="00E040D1">
              <w:rPr>
                <w:rFonts w:asciiTheme="majorBidi" w:hAnsiTheme="majorBidi" w:cstheme="majorBidi"/>
                <w:b/>
                <w:bCs/>
                <w:sz w:val="24"/>
                <w:szCs w:val="24"/>
              </w:rPr>
              <w:t>day</w:t>
            </w:r>
          </w:p>
        </w:tc>
        <w:tc>
          <w:tcPr>
            <w:tcW w:w="1211" w:type="pct"/>
            <w:shd w:val="clear" w:color="auto" w:fill="auto"/>
          </w:tcPr>
          <w:p w14:paraId="0C205AE1"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32.72±6.49</w:t>
            </w:r>
          </w:p>
        </w:tc>
        <w:tc>
          <w:tcPr>
            <w:tcW w:w="1379" w:type="pct"/>
            <w:shd w:val="clear" w:color="auto" w:fill="auto"/>
          </w:tcPr>
          <w:p w14:paraId="504B156C"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32.04±6.518</w:t>
            </w:r>
          </w:p>
        </w:tc>
        <w:tc>
          <w:tcPr>
            <w:tcW w:w="627" w:type="pct"/>
            <w:shd w:val="clear" w:color="auto" w:fill="auto"/>
          </w:tcPr>
          <w:p w14:paraId="6B81A61A"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0.60</w:t>
            </w:r>
          </w:p>
        </w:tc>
      </w:tr>
      <w:tr w:rsidR="0030369A" w:rsidRPr="00E040D1" w14:paraId="01B673F3" w14:textId="77777777" w:rsidTr="00B91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pct"/>
            <w:vMerge w:val="restart"/>
            <w:shd w:val="clear" w:color="auto" w:fill="auto"/>
          </w:tcPr>
          <w:p w14:paraId="67CC30A9" w14:textId="77777777" w:rsidR="00427926" w:rsidRPr="00E040D1" w:rsidRDefault="00427926" w:rsidP="00E040D1">
            <w:pPr>
              <w:spacing w:line="276" w:lineRule="auto"/>
              <w:jc w:val="center"/>
              <w:rPr>
                <w:rFonts w:asciiTheme="majorBidi" w:hAnsiTheme="majorBidi" w:cstheme="majorBidi"/>
                <w:sz w:val="24"/>
                <w:szCs w:val="24"/>
              </w:rPr>
            </w:pPr>
            <w:r w:rsidRPr="00E040D1">
              <w:rPr>
                <w:rFonts w:asciiTheme="majorBidi" w:hAnsiTheme="majorBidi" w:cstheme="majorBidi"/>
                <w:sz w:val="24"/>
                <w:szCs w:val="24"/>
              </w:rPr>
              <w:lastRenderedPageBreak/>
              <w:t>AST</w:t>
            </w:r>
          </w:p>
        </w:tc>
        <w:tc>
          <w:tcPr>
            <w:tcW w:w="1114" w:type="pct"/>
            <w:shd w:val="clear" w:color="auto" w:fill="auto"/>
          </w:tcPr>
          <w:p w14:paraId="1F73AB19"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On admission</w:t>
            </w:r>
          </w:p>
        </w:tc>
        <w:tc>
          <w:tcPr>
            <w:tcW w:w="1211" w:type="pct"/>
            <w:shd w:val="clear" w:color="auto" w:fill="auto"/>
          </w:tcPr>
          <w:p w14:paraId="3377A08B"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27.72±7.717</w:t>
            </w:r>
          </w:p>
        </w:tc>
        <w:tc>
          <w:tcPr>
            <w:tcW w:w="1379" w:type="pct"/>
            <w:shd w:val="clear" w:color="auto" w:fill="auto"/>
          </w:tcPr>
          <w:p w14:paraId="0F56D2C2"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32.92±11.98</w:t>
            </w:r>
          </w:p>
        </w:tc>
        <w:tc>
          <w:tcPr>
            <w:tcW w:w="627" w:type="pct"/>
            <w:shd w:val="clear" w:color="auto" w:fill="auto"/>
          </w:tcPr>
          <w:p w14:paraId="10E02349"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0.011</w:t>
            </w:r>
          </w:p>
        </w:tc>
      </w:tr>
      <w:tr w:rsidR="0030369A" w:rsidRPr="00E040D1" w14:paraId="098E3CD6" w14:textId="77777777" w:rsidTr="00B91610">
        <w:tc>
          <w:tcPr>
            <w:cnfStyle w:val="001000000000" w:firstRow="0" w:lastRow="0" w:firstColumn="1" w:lastColumn="0" w:oddVBand="0" w:evenVBand="0" w:oddHBand="0" w:evenHBand="0" w:firstRowFirstColumn="0" w:firstRowLastColumn="0" w:lastRowFirstColumn="0" w:lastRowLastColumn="0"/>
            <w:tcW w:w="669" w:type="pct"/>
            <w:vMerge/>
            <w:shd w:val="clear" w:color="auto" w:fill="auto"/>
          </w:tcPr>
          <w:p w14:paraId="4F8AEF3E" w14:textId="77777777" w:rsidR="00427926" w:rsidRPr="00E040D1" w:rsidRDefault="00427926" w:rsidP="00E040D1">
            <w:pPr>
              <w:spacing w:line="276" w:lineRule="auto"/>
              <w:jc w:val="center"/>
              <w:rPr>
                <w:rFonts w:asciiTheme="majorBidi" w:hAnsiTheme="majorBidi" w:cstheme="majorBidi"/>
                <w:sz w:val="24"/>
                <w:szCs w:val="24"/>
              </w:rPr>
            </w:pPr>
          </w:p>
        </w:tc>
        <w:tc>
          <w:tcPr>
            <w:tcW w:w="1114" w:type="pct"/>
            <w:shd w:val="clear" w:color="auto" w:fill="auto"/>
          </w:tcPr>
          <w:p w14:paraId="2008FFAF"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On 10</w:t>
            </w:r>
            <w:r w:rsidRPr="00E040D1">
              <w:rPr>
                <w:rFonts w:asciiTheme="majorBidi" w:hAnsiTheme="majorBidi" w:cstheme="majorBidi"/>
                <w:b/>
                <w:bCs/>
                <w:sz w:val="24"/>
                <w:szCs w:val="24"/>
                <w:vertAlign w:val="superscript"/>
              </w:rPr>
              <w:t xml:space="preserve">th </w:t>
            </w:r>
            <w:r w:rsidRPr="00E040D1">
              <w:rPr>
                <w:rFonts w:asciiTheme="majorBidi" w:hAnsiTheme="majorBidi" w:cstheme="majorBidi"/>
                <w:b/>
                <w:bCs/>
                <w:sz w:val="24"/>
                <w:szCs w:val="24"/>
              </w:rPr>
              <w:t>day</w:t>
            </w:r>
          </w:p>
        </w:tc>
        <w:tc>
          <w:tcPr>
            <w:tcW w:w="1211" w:type="pct"/>
            <w:shd w:val="clear" w:color="auto" w:fill="auto"/>
          </w:tcPr>
          <w:p w14:paraId="1445A51C"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30.46±10.057</w:t>
            </w:r>
          </w:p>
        </w:tc>
        <w:tc>
          <w:tcPr>
            <w:tcW w:w="1379" w:type="pct"/>
            <w:shd w:val="clear" w:color="auto" w:fill="auto"/>
          </w:tcPr>
          <w:p w14:paraId="4EDBD00E"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25.46±9.060</w:t>
            </w:r>
          </w:p>
        </w:tc>
        <w:tc>
          <w:tcPr>
            <w:tcW w:w="627" w:type="pct"/>
            <w:shd w:val="clear" w:color="auto" w:fill="auto"/>
          </w:tcPr>
          <w:p w14:paraId="61C97B5B"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0.010</w:t>
            </w:r>
          </w:p>
        </w:tc>
      </w:tr>
      <w:tr w:rsidR="0030369A" w:rsidRPr="00E040D1" w14:paraId="5D32B48F" w14:textId="77777777" w:rsidTr="00B91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pct"/>
            <w:vMerge w:val="restart"/>
            <w:shd w:val="clear" w:color="auto" w:fill="auto"/>
          </w:tcPr>
          <w:p w14:paraId="30C08B00" w14:textId="77777777" w:rsidR="00427926" w:rsidRPr="00E040D1" w:rsidRDefault="00427926" w:rsidP="00E040D1">
            <w:pPr>
              <w:spacing w:line="276" w:lineRule="auto"/>
              <w:jc w:val="center"/>
              <w:rPr>
                <w:rFonts w:asciiTheme="majorBidi" w:hAnsiTheme="majorBidi" w:cstheme="majorBidi"/>
                <w:sz w:val="24"/>
                <w:szCs w:val="24"/>
              </w:rPr>
            </w:pPr>
            <w:r w:rsidRPr="00E040D1">
              <w:rPr>
                <w:rFonts w:asciiTheme="majorBidi" w:hAnsiTheme="majorBidi" w:cstheme="majorBidi"/>
                <w:sz w:val="24"/>
                <w:szCs w:val="24"/>
              </w:rPr>
              <w:t>D-dimer</w:t>
            </w:r>
          </w:p>
        </w:tc>
        <w:tc>
          <w:tcPr>
            <w:tcW w:w="1114" w:type="pct"/>
            <w:shd w:val="clear" w:color="auto" w:fill="auto"/>
          </w:tcPr>
          <w:p w14:paraId="65A14DBF"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On admission</w:t>
            </w:r>
          </w:p>
        </w:tc>
        <w:tc>
          <w:tcPr>
            <w:tcW w:w="1211" w:type="pct"/>
            <w:shd w:val="clear" w:color="auto" w:fill="auto"/>
          </w:tcPr>
          <w:p w14:paraId="783094EA"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1391.76±752.64</w:t>
            </w:r>
          </w:p>
        </w:tc>
        <w:tc>
          <w:tcPr>
            <w:tcW w:w="1379" w:type="pct"/>
            <w:shd w:val="clear" w:color="auto" w:fill="auto"/>
          </w:tcPr>
          <w:p w14:paraId="7ACDD0DC"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1823.64±1156.98</w:t>
            </w:r>
          </w:p>
        </w:tc>
        <w:tc>
          <w:tcPr>
            <w:tcW w:w="627" w:type="pct"/>
            <w:shd w:val="clear" w:color="auto" w:fill="auto"/>
          </w:tcPr>
          <w:p w14:paraId="44D291DD"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0.029</w:t>
            </w:r>
          </w:p>
        </w:tc>
      </w:tr>
      <w:tr w:rsidR="0030369A" w:rsidRPr="00E040D1" w14:paraId="31D76227" w14:textId="77777777" w:rsidTr="00B91610">
        <w:tc>
          <w:tcPr>
            <w:cnfStyle w:val="001000000000" w:firstRow="0" w:lastRow="0" w:firstColumn="1" w:lastColumn="0" w:oddVBand="0" w:evenVBand="0" w:oddHBand="0" w:evenHBand="0" w:firstRowFirstColumn="0" w:firstRowLastColumn="0" w:lastRowFirstColumn="0" w:lastRowLastColumn="0"/>
            <w:tcW w:w="669" w:type="pct"/>
            <w:vMerge/>
            <w:shd w:val="clear" w:color="auto" w:fill="auto"/>
          </w:tcPr>
          <w:p w14:paraId="7D45B3A7" w14:textId="77777777" w:rsidR="00427926" w:rsidRPr="00E040D1" w:rsidRDefault="00427926" w:rsidP="00E040D1">
            <w:pPr>
              <w:spacing w:line="276" w:lineRule="auto"/>
              <w:jc w:val="center"/>
              <w:rPr>
                <w:rFonts w:asciiTheme="majorBidi" w:hAnsiTheme="majorBidi" w:cstheme="majorBidi"/>
                <w:sz w:val="24"/>
                <w:szCs w:val="24"/>
              </w:rPr>
            </w:pPr>
          </w:p>
        </w:tc>
        <w:tc>
          <w:tcPr>
            <w:tcW w:w="1114" w:type="pct"/>
            <w:shd w:val="clear" w:color="auto" w:fill="auto"/>
          </w:tcPr>
          <w:p w14:paraId="760A0879"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On 10</w:t>
            </w:r>
            <w:r w:rsidRPr="00E040D1">
              <w:rPr>
                <w:rFonts w:asciiTheme="majorBidi" w:hAnsiTheme="majorBidi" w:cstheme="majorBidi"/>
                <w:b/>
                <w:bCs/>
                <w:sz w:val="24"/>
                <w:szCs w:val="24"/>
                <w:vertAlign w:val="superscript"/>
              </w:rPr>
              <w:t xml:space="preserve">th </w:t>
            </w:r>
            <w:r w:rsidRPr="00E040D1">
              <w:rPr>
                <w:rFonts w:asciiTheme="majorBidi" w:hAnsiTheme="majorBidi" w:cstheme="majorBidi"/>
                <w:b/>
                <w:bCs/>
                <w:sz w:val="24"/>
                <w:szCs w:val="24"/>
              </w:rPr>
              <w:t>day</w:t>
            </w:r>
          </w:p>
        </w:tc>
        <w:tc>
          <w:tcPr>
            <w:tcW w:w="1211" w:type="pct"/>
            <w:shd w:val="clear" w:color="auto" w:fill="auto"/>
          </w:tcPr>
          <w:p w14:paraId="79F3FF11"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1153.04±725.34</w:t>
            </w:r>
          </w:p>
        </w:tc>
        <w:tc>
          <w:tcPr>
            <w:tcW w:w="1379" w:type="pct"/>
            <w:shd w:val="clear" w:color="auto" w:fill="auto"/>
          </w:tcPr>
          <w:p w14:paraId="208D2BC9"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1633.12±1244.8</w:t>
            </w:r>
          </w:p>
        </w:tc>
        <w:tc>
          <w:tcPr>
            <w:tcW w:w="627" w:type="pct"/>
            <w:shd w:val="clear" w:color="auto" w:fill="auto"/>
          </w:tcPr>
          <w:p w14:paraId="62D57431"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0.020</w:t>
            </w:r>
          </w:p>
        </w:tc>
      </w:tr>
      <w:tr w:rsidR="0030369A" w:rsidRPr="00E040D1" w14:paraId="667648D1" w14:textId="77777777" w:rsidTr="00B91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pct"/>
            <w:vMerge w:val="restart"/>
            <w:shd w:val="clear" w:color="auto" w:fill="auto"/>
          </w:tcPr>
          <w:p w14:paraId="2EDD50A7" w14:textId="77777777" w:rsidR="00427926" w:rsidRPr="00E040D1" w:rsidRDefault="00427926" w:rsidP="00E040D1">
            <w:pPr>
              <w:spacing w:line="276" w:lineRule="auto"/>
              <w:jc w:val="center"/>
              <w:rPr>
                <w:rFonts w:asciiTheme="majorBidi" w:hAnsiTheme="majorBidi" w:cstheme="majorBidi"/>
                <w:sz w:val="24"/>
                <w:szCs w:val="24"/>
              </w:rPr>
            </w:pPr>
            <w:r w:rsidRPr="00E040D1">
              <w:rPr>
                <w:rFonts w:asciiTheme="majorBidi" w:hAnsiTheme="majorBidi" w:cstheme="majorBidi"/>
                <w:sz w:val="24"/>
                <w:szCs w:val="24"/>
              </w:rPr>
              <w:t>Ferritin</w:t>
            </w:r>
          </w:p>
        </w:tc>
        <w:tc>
          <w:tcPr>
            <w:tcW w:w="1114" w:type="pct"/>
            <w:shd w:val="clear" w:color="auto" w:fill="auto"/>
          </w:tcPr>
          <w:p w14:paraId="7B6BF260"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On admission</w:t>
            </w:r>
          </w:p>
        </w:tc>
        <w:tc>
          <w:tcPr>
            <w:tcW w:w="1211" w:type="pct"/>
            <w:shd w:val="clear" w:color="auto" w:fill="auto"/>
          </w:tcPr>
          <w:p w14:paraId="773E59AA"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1699.56±852.006</w:t>
            </w:r>
          </w:p>
        </w:tc>
        <w:tc>
          <w:tcPr>
            <w:tcW w:w="1379" w:type="pct"/>
            <w:shd w:val="clear" w:color="auto" w:fill="auto"/>
          </w:tcPr>
          <w:p w14:paraId="2E02B449"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2453.72±1583.41</w:t>
            </w:r>
          </w:p>
        </w:tc>
        <w:tc>
          <w:tcPr>
            <w:tcW w:w="627" w:type="pct"/>
            <w:shd w:val="clear" w:color="auto" w:fill="auto"/>
          </w:tcPr>
          <w:p w14:paraId="38CB3328"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0.003</w:t>
            </w:r>
          </w:p>
        </w:tc>
      </w:tr>
      <w:tr w:rsidR="0030369A" w:rsidRPr="00E040D1" w14:paraId="63DA59C5" w14:textId="77777777" w:rsidTr="00B91610">
        <w:tc>
          <w:tcPr>
            <w:cnfStyle w:val="001000000000" w:firstRow="0" w:lastRow="0" w:firstColumn="1" w:lastColumn="0" w:oddVBand="0" w:evenVBand="0" w:oddHBand="0" w:evenHBand="0" w:firstRowFirstColumn="0" w:firstRowLastColumn="0" w:lastRowFirstColumn="0" w:lastRowLastColumn="0"/>
            <w:tcW w:w="669" w:type="pct"/>
            <w:vMerge/>
            <w:shd w:val="clear" w:color="auto" w:fill="auto"/>
          </w:tcPr>
          <w:p w14:paraId="62D4581C" w14:textId="77777777" w:rsidR="00427926" w:rsidRPr="00E040D1" w:rsidRDefault="00427926" w:rsidP="00E040D1">
            <w:pPr>
              <w:spacing w:line="276" w:lineRule="auto"/>
              <w:jc w:val="center"/>
              <w:rPr>
                <w:rFonts w:asciiTheme="majorBidi" w:hAnsiTheme="majorBidi" w:cstheme="majorBidi"/>
                <w:sz w:val="24"/>
                <w:szCs w:val="24"/>
              </w:rPr>
            </w:pPr>
          </w:p>
        </w:tc>
        <w:tc>
          <w:tcPr>
            <w:tcW w:w="1114" w:type="pct"/>
            <w:shd w:val="clear" w:color="auto" w:fill="auto"/>
          </w:tcPr>
          <w:p w14:paraId="07451061"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On 10</w:t>
            </w:r>
            <w:r w:rsidRPr="00E040D1">
              <w:rPr>
                <w:rFonts w:asciiTheme="majorBidi" w:hAnsiTheme="majorBidi" w:cstheme="majorBidi"/>
                <w:b/>
                <w:bCs/>
                <w:sz w:val="24"/>
                <w:szCs w:val="24"/>
                <w:vertAlign w:val="superscript"/>
              </w:rPr>
              <w:t xml:space="preserve">th </w:t>
            </w:r>
            <w:r w:rsidRPr="00E040D1">
              <w:rPr>
                <w:rFonts w:asciiTheme="majorBidi" w:hAnsiTheme="majorBidi" w:cstheme="majorBidi"/>
                <w:b/>
                <w:bCs/>
                <w:sz w:val="24"/>
                <w:szCs w:val="24"/>
              </w:rPr>
              <w:t>day</w:t>
            </w:r>
          </w:p>
        </w:tc>
        <w:tc>
          <w:tcPr>
            <w:tcW w:w="1211" w:type="pct"/>
            <w:shd w:val="clear" w:color="auto" w:fill="auto"/>
          </w:tcPr>
          <w:p w14:paraId="7F92036B"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899.14±344.22</w:t>
            </w:r>
          </w:p>
        </w:tc>
        <w:tc>
          <w:tcPr>
            <w:tcW w:w="1379" w:type="pct"/>
            <w:shd w:val="clear" w:color="auto" w:fill="auto"/>
          </w:tcPr>
          <w:p w14:paraId="1F9A2A31"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1523.8±994.44</w:t>
            </w:r>
          </w:p>
        </w:tc>
        <w:tc>
          <w:tcPr>
            <w:tcW w:w="627" w:type="pct"/>
            <w:shd w:val="clear" w:color="auto" w:fill="auto"/>
          </w:tcPr>
          <w:p w14:paraId="78515943"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&lt;0.001</w:t>
            </w:r>
          </w:p>
        </w:tc>
      </w:tr>
      <w:tr w:rsidR="0030369A" w:rsidRPr="00E040D1" w14:paraId="4C8D06BD" w14:textId="77777777" w:rsidTr="00B91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pct"/>
            <w:vMerge w:val="restart"/>
            <w:shd w:val="clear" w:color="auto" w:fill="auto"/>
          </w:tcPr>
          <w:p w14:paraId="4AB2D347" w14:textId="77777777" w:rsidR="00427926" w:rsidRPr="00E040D1" w:rsidRDefault="00427926" w:rsidP="00E040D1">
            <w:pPr>
              <w:spacing w:line="276" w:lineRule="auto"/>
              <w:jc w:val="center"/>
              <w:rPr>
                <w:rFonts w:asciiTheme="majorBidi" w:hAnsiTheme="majorBidi" w:cstheme="majorBidi"/>
                <w:sz w:val="24"/>
                <w:szCs w:val="24"/>
              </w:rPr>
            </w:pPr>
            <w:r w:rsidRPr="00E040D1">
              <w:rPr>
                <w:rFonts w:asciiTheme="majorBidi" w:hAnsiTheme="majorBidi" w:cstheme="majorBidi"/>
                <w:sz w:val="24"/>
                <w:szCs w:val="24"/>
              </w:rPr>
              <w:t>LDH</w:t>
            </w:r>
          </w:p>
        </w:tc>
        <w:tc>
          <w:tcPr>
            <w:tcW w:w="1114" w:type="pct"/>
            <w:shd w:val="clear" w:color="auto" w:fill="auto"/>
          </w:tcPr>
          <w:p w14:paraId="4960162C"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On admission</w:t>
            </w:r>
          </w:p>
        </w:tc>
        <w:tc>
          <w:tcPr>
            <w:tcW w:w="1211" w:type="pct"/>
            <w:shd w:val="clear" w:color="auto" w:fill="auto"/>
          </w:tcPr>
          <w:p w14:paraId="063F657D"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695.14±187.80</w:t>
            </w:r>
          </w:p>
        </w:tc>
        <w:tc>
          <w:tcPr>
            <w:tcW w:w="1379" w:type="pct"/>
            <w:shd w:val="clear" w:color="auto" w:fill="auto"/>
          </w:tcPr>
          <w:p w14:paraId="4925152C"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741.98±189.96</w:t>
            </w:r>
          </w:p>
        </w:tc>
        <w:tc>
          <w:tcPr>
            <w:tcW w:w="627" w:type="pct"/>
            <w:shd w:val="clear" w:color="auto" w:fill="auto"/>
          </w:tcPr>
          <w:p w14:paraId="2EAA0BA2"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0.21</w:t>
            </w:r>
          </w:p>
        </w:tc>
      </w:tr>
      <w:tr w:rsidR="0030369A" w:rsidRPr="00E040D1" w14:paraId="3851FD19" w14:textId="77777777" w:rsidTr="00B91610">
        <w:tc>
          <w:tcPr>
            <w:cnfStyle w:val="001000000000" w:firstRow="0" w:lastRow="0" w:firstColumn="1" w:lastColumn="0" w:oddVBand="0" w:evenVBand="0" w:oddHBand="0" w:evenHBand="0" w:firstRowFirstColumn="0" w:firstRowLastColumn="0" w:lastRowFirstColumn="0" w:lastRowLastColumn="0"/>
            <w:tcW w:w="669" w:type="pct"/>
            <w:vMerge/>
            <w:shd w:val="clear" w:color="auto" w:fill="auto"/>
          </w:tcPr>
          <w:p w14:paraId="59486609" w14:textId="77777777" w:rsidR="00427926" w:rsidRPr="00E040D1" w:rsidRDefault="00427926" w:rsidP="00E040D1">
            <w:pPr>
              <w:spacing w:line="276" w:lineRule="auto"/>
              <w:jc w:val="center"/>
              <w:rPr>
                <w:rFonts w:asciiTheme="majorBidi" w:hAnsiTheme="majorBidi" w:cstheme="majorBidi"/>
                <w:sz w:val="24"/>
                <w:szCs w:val="24"/>
              </w:rPr>
            </w:pPr>
          </w:p>
        </w:tc>
        <w:tc>
          <w:tcPr>
            <w:tcW w:w="1114" w:type="pct"/>
            <w:shd w:val="clear" w:color="auto" w:fill="auto"/>
          </w:tcPr>
          <w:p w14:paraId="497F5E41"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On 10</w:t>
            </w:r>
            <w:r w:rsidRPr="00E040D1">
              <w:rPr>
                <w:rFonts w:asciiTheme="majorBidi" w:hAnsiTheme="majorBidi" w:cstheme="majorBidi"/>
                <w:b/>
                <w:bCs/>
                <w:sz w:val="24"/>
                <w:szCs w:val="24"/>
                <w:vertAlign w:val="superscript"/>
              </w:rPr>
              <w:t xml:space="preserve">th </w:t>
            </w:r>
            <w:r w:rsidRPr="00E040D1">
              <w:rPr>
                <w:rFonts w:asciiTheme="majorBidi" w:hAnsiTheme="majorBidi" w:cstheme="majorBidi"/>
                <w:b/>
                <w:bCs/>
                <w:sz w:val="24"/>
                <w:szCs w:val="24"/>
              </w:rPr>
              <w:t>day</w:t>
            </w:r>
          </w:p>
        </w:tc>
        <w:tc>
          <w:tcPr>
            <w:tcW w:w="1211" w:type="pct"/>
            <w:shd w:val="clear" w:color="auto" w:fill="auto"/>
          </w:tcPr>
          <w:p w14:paraId="364FCE89"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556.46±213.06</w:t>
            </w:r>
          </w:p>
        </w:tc>
        <w:tc>
          <w:tcPr>
            <w:tcW w:w="1379" w:type="pct"/>
            <w:shd w:val="clear" w:color="auto" w:fill="auto"/>
          </w:tcPr>
          <w:p w14:paraId="2EB33F54"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565.72±184.96</w:t>
            </w:r>
          </w:p>
        </w:tc>
        <w:tc>
          <w:tcPr>
            <w:tcW w:w="627" w:type="pct"/>
            <w:shd w:val="clear" w:color="auto" w:fill="auto"/>
          </w:tcPr>
          <w:p w14:paraId="2D914006"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0.81</w:t>
            </w:r>
          </w:p>
        </w:tc>
      </w:tr>
      <w:tr w:rsidR="0030369A" w:rsidRPr="00E040D1" w14:paraId="0A48D2B7" w14:textId="77777777" w:rsidTr="00B91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pct"/>
            <w:vMerge w:val="restart"/>
            <w:shd w:val="clear" w:color="auto" w:fill="auto"/>
          </w:tcPr>
          <w:p w14:paraId="3C677688" w14:textId="77777777" w:rsidR="00427926" w:rsidRPr="00E040D1" w:rsidRDefault="00427926" w:rsidP="00E040D1">
            <w:pPr>
              <w:spacing w:line="276" w:lineRule="auto"/>
              <w:jc w:val="center"/>
              <w:rPr>
                <w:rFonts w:asciiTheme="majorBidi" w:hAnsiTheme="majorBidi" w:cstheme="majorBidi"/>
                <w:sz w:val="24"/>
                <w:szCs w:val="24"/>
              </w:rPr>
            </w:pPr>
            <w:r w:rsidRPr="00E040D1">
              <w:rPr>
                <w:rFonts w:asciiTheme="majorBidi" w:hAnsiTheme="majorBidi" w:cstheme="majorBidi"/>
                <w:sz w:val="24"/>
                <w:szCs w:val="24"/>
              </w:rPr>
              <w:t>NLR</w:t>
            </w:r>
          </w:p>
        </w:tc>
        <w:tc>
          <w:tcPr>
            <w:tcW w:w="1114" w:type="pct"/>
            <w:shd w:val="clear" w:color="auto" w:fill="auto"/>
          </w:tcPr>
          <w:p w14:paraId="683B2010"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On admission</w:t>
            </w:r>
          </w:p>
        </w:tc>
        <w:tc>
          <w:tcPr>
            <w:tcW w:w="1211" w:type="pct"/>
            <w:shd w:val="clear" w:color="auto" w:fill="auto"/>
          </w:tcPr>
          <w:p w14:paraId="3F49EBCA"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3.544±0.652</w:t>
            </w:r>
          </w:p>
        </w:tc>
        <w:tc>
          <w:tcPr>
            <w:tcW w:w="1379" w:type="pct"/>
            <w:shd w:val="clear" w:color="auto" w:fill="auto"/>
          </w:tcPr>
          <w:p w14:paraId="11E78664"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3.726±0.527</w:t>
            </w:r>
          </w:p>
        </w:tc>
        <w:tc>
          <w:tcPr>
            <w:tcW w:w="627" w:type="pct"/>
            <w:shd w:val="clear" w:color="auto" w:fill="auto"/>
          </w:tcPr>
          <w:p w14:paraId="7A1B7447"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0.12</w:t>
            </w:r>
          </w:p>
        </w:tc>
      </w:tr>
      <w:tr w:rsidR="0030369A" w:rsidRPr="00E040D1" w14:paraId="2A9305F1" w14:textId="77777777" w:rsidTr="00B91610">
        <w:tc>
          <w:tcPr>
            <w:cnfStyle w:val="001000000000" w:firstRow="0" w:lastRow="0" w:firstColumn="1" w:lastColumn="0" w:oddVBand="0" w:evenVBand="0" w:oddHBand="0" w:evenHBand="0" w:firstRowFirstColumn="0" w:firstRowLastColumn="0" w:lastRowFirstColumn="0" w:lastRowLastColumn="0"/>
            <w:tcW w:w="669" w:type="pct"/>
            <w:vMerge/>
            <w:shd w:val="clear" w:color="auto" w:fill="auto"/>
          </w:tcPr>
          <w:p w14:paraId="26C860F7" w14:textId="77777777" w:rsidR="00427926" w:rsidRPr="00E040D1" w:rsidRDefault="00427926" w:rsidP="00E040D1">
            <w:pPr>
              <w:spacing w:line="276" w:lineRule="auto"/>
              <w:jc w:val="center"/>
              <w:rPr>
                <w:rFonts w:asciiTheme="majorBidi" w:hAnsiTheme="majorBidi" w:cstheme="majorBidi"/>
                <w:sz w:val="24"/>
                <w:szCs w:val="24"/>
              </w:rPr>
            </w:pPr>
          </w:p>
        </w:tc>
        <w:tc>
          <w:tcPr>
            <w:tcW w:w="1114" w:type="pct"/>
            <w:shd w:val="clear" w:color="auto" w:fill="auto"/>
          </w:tcPr>
          <w:p w14:paraId="703CBD31"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 xml:space="preserve"> On 10th day</w:t>
            </w:r>
          </w:p>
        </w:tc>
        <w:tc>
          <w:tcPr>
            <w:tcW w:w="1211" w:type="pct"/>
            <w:shd w:val="clear" w:color="auto" w:fill="auto"/>
          </w:tcPr>
          <w:p w14:paraId="6532FC5B"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3.108±0.430</w:t>
            </w:r>
          </w:p>
        </w:tc>
        <w:tc>
          <w:tcPr>
            <w:tcW w:w="1379" w:type="pct"/>
            <w:shd w:val="clear" w:color="auto" w:fill="auto"/>
          </w:tcPr>
          <w:p w14:paraId="70081D20"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3.506±0.536</w:t>
            </w:r>
          </w:p>
        </w:tc>
        <w:tc>
          <w:tcPr>
            <w:tcW w:w="627" w:type="pct"/>
            <w:shd w:val="clear" w:color="auto" w:fill="auto"/>
          </w:tcPr>
          <w:p w14:paraId="02524E50"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&lt;0.001</w:t>
            </w:r>
          </w:p>
        </w:tc>
      </w:tr>
      <w:tr w:rsidR="0030369A" w:rsidRPr="00E040D1" w14:paraId="2FB37AA9" w14:textId="77777777" w:rsidTr="00B91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pct"/>
            <w:vMerge w:val="restart"/>
            <w:shd w:val="clear" w:color="auto" w:fill="auto"/>
          </w:tcPr>
          <w:p w14:paraId="6557AED7" w14:textId="77777777" w:rsidR="00427926" w:rsidRPr="00E040D1" w:rsidRDefault="00427926" w:rsidP="00E040D1">
            <w:pPr>
              <w:spacing w:line="276" w:lineRule="auto"/>
              <w:jc w:val="center"/>
              <w:rPr>
                <w:rFonts w:asciiTheme="majorBidi" w:hAnsiTheme="majorBidi" w:cstheme="majorBidi"/>
                <w:sz w:val="24"/>
                <w:szCs w:val="24"/>
              </w:rPr>
            </w:pPr>
            <w:r w:rsidRPr="00E040D1">
              <w:rPr>
                <w:rFonts w:asciiTheme="majorBidi" w:hAnsiTheme="majorBidi" w:cstheme="majorBidi"/>
                <w:sz w:val="24"/>
                <w:szCs w:val="24"/>
              </w:rPr>
              <w:t>CT</w:t>
            </w:r>
          </w:p>
        </w:tc>
        <w:tc>
          <w:tcPr>
            <w:tcW w:w="1114" w:type="pct"/>
            <w:shd w:val="clear" w:color="auto" w:fill="auto"/>
          </w:tcPr>
          <w:p w14:paraId="6FDB591A"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On admission</w:t>
            </w:r>
          </w:p>
        </w:tc>
        <w:tc>
          <w:tcPr>
            <w:tcW w:w="1211" w:type="pct"/>
            <w:shd w:val="clear" w:color="auto" w:fill="auto"/>
          </w:tcPr>
          <w:p w14:paraId="4CF622F8"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4.26±0.750</w:t>
            </w:r>
          </w:p>
        </w:tc>
        <w:tc>
          <w:tcPr>
            <w:tcW w:w="1379" w:type="pct"/>
            <w:shd w:val="clear" w:color="auto" w:fill="auto"/>
          </w:tcPr>
          <w:p w14:paraId="19A86CEC"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4.38±0.666</w:t>
            </w:r>
          </w:p>
        </w:tc>
        <w:tc>
          <w:tcPr>
            <w:tcW w:w="627" w:type="pct"/>
            <w:shd w:val="clear" w:color="auto" w:fill="auto"/>
          </w:tcPr>
          <w:p w14:paraId="6D6751A1"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0.40</w:t>
            </w:r>
          </w:p>
        </w:tc>
      </w:tr>
      <w:tr w:rsidR="0030369A" w:rsidRPr="00E040D1" w14:paraId="0A404A35" w14:textId="77777777" w:rsidTr="00B91610">
        <w:tc>
          <w:tcPr>
            <w:cnfStyle w:val="001000000000" w:firstRow="0" w:lastRow="0" w:firstColumn="1" w:lastColumn="0" w:oddVBand="0" w:evenVBand="0" w:oddHBand="0" w:evenHBand="0" w:firstRowFirstColumn="0" w:firstRowLastColumn="0" w:lastRowFirstColumn="0" w:lastRowLastColumn="0"/>
            <w:tcW w:w="669" w:type="pct"/>
            <w:vMerge/>
            <w:shd w:val="clear" w:color="auto" w:fill="auto"/>
          </w:tcPr>
          <w:p w14:paraId="137571E6" w14:textId="77777777" w:rsidR="00427926" w:rsidRPr="00E040D1" w:rsidRDefault="00427926" w:rsidP="00E040D1">
            <w:pPr>
              <w:spacing w:line="276" w:lineRule="auto"/>
              <w:jc w:val="center"/>
              <w:rPr>
                <w:rFonts w:asciiTheme="majorBidi" w:hAnsiTheme="majorBidi" w:cstheme="majorBidi"/>
                <w:sz w:val="24"/>
                <w:szCs w:val="24"/>
              </w:rPr>
            </w:pPr>
          </w:p>
        </w:tc>
        <w:tc>
          <w:tcPr>
            <w:tcW w:w="1114" w:type="pct"/>
            <w:shd w:val="clear" w:color="auto" w:fill="auto"/>
          </w:tcPr>
          <w:p w14:paraId="1B9F497E"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E040D1">
              <w:rPr>
                <w:rFonts w:asciiTheme="majorBidi" w:hAnsiTheme="majorBidi" w:cstheme="majorBidi"/>
                <w:b/>
                <w:bCs/>
                <w:sz w:val="24"/>
                <w:szCs w:val="24"/>
              </w:rPr>
              <w:t xml:space="preserve"> On 10th day</w:t>
            </w:r>
          </w:p>
        </w:tc>
        <w:tc>
          <w:tcPr>
            <w:tcW w:w="1211" w:type="pct"/>
            <w:shd w:val="clear" w:color="auto" w:fill="auto"/>
          </w:tcPr>
          <w:p w14:paraId="48D31E72"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3.5±1.054</w:t>
            </w:r>
          </w:p>
        </w:tc>
        <w:tc>
          <w:tcPr>
            <w:tcW w:w="1379" w:type="pct"/>
            <w:shd w:val="clear" w:color="auto" w:fill="auto"/>
          </w:tcPr>
          <w:p w14:paraId="6643D3AD"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3.54±0.994</w:t>
            </w:r>
          </w:p>
        </w:tc>
        <w:tc>
          <w:tcPr>
            <w:tcW w:w="627" w:type="pct"/>
            <w:shd w:val="clear" w:color="auto" w:fill="auto"/>
          </w:tcPr>
          <w:p w14:paraId="531C9300"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0.84</w:t>
            </w:r>
          </w:p>
        </w:tc>
      </w:tr>
    </w:tbl>
    <w:p w14:paraId="03FE8945" w14:textId="77777777" w:rsidR="00427926" w:rsidRPr="00E040D1" w:rsidRDefault="00427926" w:rsidP="00E040D1">
      <w:pPr>
        <w:tabs>
          <w:tab w:val="right" w:pos="284"/>
          <w:tab w:val="left" w:pos="3572"/>
          <w:tab w:val="left" w:pos="8170"/>
        </w:tabs>
        <w:spacing w:line="276" w:lineRule="auto"/>
        <w:jc w:val="lowKashida"/>
        <w:rPr>
          <w:rFonts w:asciiTheme="majorBidi" w:hAnsiTheme="majorBidi" w:cstheme="majorBidi"/>
          <w:b/>
          <w:bCs/>
          <w:sz w:val="24"/>
          <w:szCs w:val="24"/>
          <w:lang w:bidi="ar-EG"/>
        </w:rPr>
      </w:pPr>
      <w:r w:rsidRPr="00E040D1">
        <w:rPr>
          <w:rFonts w:asciiTheme="majorBidi" w:hAnsiTheme="majorBidi" w:cstheme="majorBidi"/>
          <w:b/>
          <w:bCs/>
          <w:sz w:val="24"/>
          <w:szCs w:val="24"/>
          <w:lang w:bidi="ar-EG"/>
        </w:rPr>
        <w:t>Table 3. Comparison of ICU stay and mortality among studied groups.</w:t>
      </w:r>
    </w:p>
    <w:tbl>
      <w:tblPr>
        <w:tblStyle w:val="PlainTable2"/>
        <w:tblW w:w="5000" w:type="pct"/>
        <w:tblLook w:val="04A0" w:firstRow="1" w:lastRow="0" w:firstColumn="1" w:lastColumn="0" w:noHBand="0" w:noVBand="1"/>
      </w:tblPr>
      <w:tblGrid>
        <w:gridCol w:w="3492"/>
        <w:gridCol w:w="2197"/>
        <w:gridCol w:w="2196"/>
        <w:gridCol w:w="1475"/>
      </w:tblGrid>
      <w:tr w:rsidR="0030369A" w:rsidRPr="00E040D1" w14:paraId="5661056B" w14:textId="77777777" w:rsidTr="00B91610">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865" w:type="pct"/>
            <w:shd w:val="clear" w:color="auto" w:fill="auto"/>
          </w:tcPr>
          <w:p w14:paraId="56E4CC8B" w14:textId="77777777" w:rsidR="00427926" w:rsidRPr="00E040D1" w:rsidRDefault="00427926" w:rsidP="00E040D1">
            <w:pPr>
              <w:spacing w:line="276" w:lineRule="auto"/>
              <w:jc w:val="center"/>
              <w:rPr>
                <w:rFonts w:asciiTheme="majorBidi" w:hAnsiTheme="majorBidi" w:cstheme="majorBidi"/>
                <w:sz w:val="24"/>
                <w:szCs w:val="24"/>
              </w:rPr>
            </w:pPr>
          </w:p>
        </w:tc>
        <w:tc>
          <w:tcPr>
            <w:tcW w:w="1173" w:type="pct"/>
            <w:shd w:val="clear" w:color="auto" w:fill="auto"/>
          </w:tcPr>
          <w:p w14:paraId="2287DE58" w14:textId="77777777" w:rsidR="00427926" w:rsidRPr="00E040D1" w:rsidRDefault="00427926" w:rsidP="00E040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Group DEX</w:t>
            </w:r>
          </w:p>
        </w:tc>
        <w:tc>
          <w:tcPr>
            <w:tcW w:w="1173" w:type="pct"/>
            <w:shd w:val="clear" w:color="auto" w:fill="auto"/>
          </w:tcPr>
          <w:p w14:paraId="51699462" w14:textId="77777777" w:rsidR="00427926" w:rsidRPr="00E040D1" w:rsidRDefault="00427926" w:rsidP="00E040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Group SOL</w:t>
            </w:r>
          </w:p>
        </w:tc>
        <w:tc>
          <w:tcPr>
            <w:tcW w:w="788" w:type="pct"/>
            <w:shd w:val="clear" w:color="auto" w:fill="auto"/>
          </w:tcPr>
          <w:p w14:paraId="5A6E5934" w14:textId="77777777" w:rsidR="00427926" w:rsidRPr="00E040D1" w:rsidRDefault="00427926" w:rsidP="00E040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p-value</w:t>
            </w:r>
          </w:p>
        </w:tc>
      </w:tr>
      <w:tr w:rsidR="0030369A" w:rsidRPr="00E040D1" w14:paraId="62F34087" w14:textId="77777777" w:rsidTr="00B91610">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865" w:type="pct"/>
            <w:shd w:val="clear" w:color="auto" w:fill="auto"/>
          </w:tcPr>
          <w:p w14:paraId="6319B86E" w14:textId="77777777" w:rsidR="00427926" w:rsidRPr="00E040D1" w:rsidRDefault="00427926" w:rsidP="00E040D1">
            <w:pPr>
              <w:spacing w:line="276" w:lineRule="auto"/>
              <w:jc w:val="center"/>
              <w:rPr>
                <w:rFonts w:asciiTheme="majorBidi" w:hAnsiTheme="majorBidi" w:cstheme="majorBidi"/>
                <w:sz w:val="24"/>
                <w:szCs w:val="24"/>
              </w:rPr>
            </w:pPr>
            <w:r w:rsidRPr="00E040D1">
              <w:rPr>
                <w:rFonts w:asciiTheme="majorBidi" w:hAnsiTheme="majorBidi" w:cstheme="majorBidi"/>
                <w:sz w:val="24"/>
                <w:szCs w:val="24"/>
              </w:rPr>
              <w:t>ICU stay (day)</w:t>
            </w:r>
          </w:p>
        </w:tc>
        <w:tc>
          <w:tcPr>
            <w:tcW w:w="1173" w:type="pct"/>
            <w:shd w:val="clear" w:color="auto" w:fill="auto"/>
          </w:tcPr>
          <w:p w14:paraId="6CC536A4"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12.5±4.286</w:t>
            </w:r>
          </w:p>
        </w:tc>
        <w:tc>
          <w:tcPr>
            <w:tcW w:w="1173" w:type="pct"/>
            <w:shd w:val="clear" w:color="auto" w:fill="auto"/>
          </w:tcPr>
          <w:p w14:paraId="64CE13E2"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14.68±7.851</w:t>
            </w:r>
          </w:p>
        </w:tc>
        <w:tc>
          <w:tcPr>
            <w:tcW w:w="788" w:type="pct"/>
            <w:shd w:val="clear" w:color="auto" w:fill="auto"/>
          </w:tcPr>
          <w:p w14:paraId="50DDAAEE" w14:textId="77777777" w:rsidR="00427926" w:rsidRPr="00E040D1" w:rsidRDefault="00427926" w:rsidP="00E040D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0.08</w:t>
            </w:r>
          </w:p>
        </w:tc>
      </w:tr>
      <w:tr w:rsidR="0030369A" w:rsidRPr="00E040D1" w14:paraId="2ECB565E" w14:textId="77777777" w:rsidTr="00B91610">
        <w:trPr>
          <w:trHeight w:val="374"/>
        </w:trPr>
        <w:tc>
          <w:tcPr>
            <w:cnfStyle w:val="001000000000" w:firstRow="0" w:lastRow="0" w:firstColumn="1" w:lastColumn="0" w:oddVBand="0" w:evenVBand="0" w:oddHBand="0" w:evenHBand="0" w:firstRowFirstColumn="0" w:firstRowLastColumn="0" w:lastRowFirstColumn="0" w:lastRowLastColumn="0"/>
            <w:tcW w:w="1865" w:type="pct"/>
            <w:shd w:val="clear" w:color="auto" w:fill="auto"/>
          </w:tcPr>
          <w:p w14:paraId="28FF739B" w14:textId="77777777" w:rsidR="00427926" w:rsidRPr="00E040D1" w:rsidRDefault="00427926" w:rsidP="00E040D1">
            <w:pPr>
              <w:spacing w:line="276" w:lineRule="auto"/>
              <w:jc w:val="center"/>
              <w:rPr>
                <w:rFonts w:asciiTheme="majorBidi" w:hAnsiTheme="majorBidi" w:cstheme="majorBidi"/>
                <w:sz w:val="24"/>
                <w:szCs w:val="24"/>
              </w:rPr>
            </w:pPr>
            <w:r w:rsidRPr="00E040D1">
              <w:rPr>
                <w:rFonts w:asciiTheme="majorBidi" w:hAnsiTheme="majorBidi" w:cstheme="majorBidi"/>
                <w:sz w:val="24"/>
                <w:szCs w:val="24"/>
              </w:rPr>
              <w:t>mortality</w:t>
            </w:r>
          </w:p>
        </w:tc>
        <w:tc>
          <w:tcPr>
            <w:tcW w:w="1173" w:type="pct"/>
            <w:shd w:val="clear" w:color="auto" w:fill="auto"/>
          </w:tcPr>
          <w:p w14:paraId="6B02BEBF"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0.498569</w:t>
            </w:r>
          </w:p>
        </w:tc>
        <w:tc>
          <w:tcPr>
            <w:tcW w:w="1173" w:type="pct"/>
            <w:shd w:val="clear" w:color="auto" w:fill="auto"/>
          </w:tcPr>
          <w:p w14:paraId="635CA37D"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0.35051</w:t>
            </w:r>
          </w:p>
        </w:tc>
        <w:tc>
          <w:tcPr>
            <w:tcW w:w="788" w:type="pct"/>
            <w:shd w:val="clear" w:color="auto" w:fill="auto"/>
          </w:tcPr>
          <w:p w14:paraId="73F8E738" w14:textId="77777777" w:rsidR="00427926" w:rsidRPr="00E040D1" w:rsidRDefault="00427926" w:rsidP="00E040D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0D1">
              <w:rPr>
                <w:rFonts w:asciiTheme="majorBidi" w:hAnsiTheme="majorBidi" w:cstheme="majorBidi"/>
                <w:sz w:val="24"/>
                <w:szCs w:val="24"/>
              </w:rPr>
              <w:t>&lt;0.001</w:t>
            </w:r>
          </w:p>
        </w:tc>
      </w:tr>
    </w:tbl>
    <w:p w14:paraId="6240BF26" w14:textId="06021780" w:rsidR="00620D9F" w:rsidRDefault="00620D9F" w:rsidP="00E040D1">
      <w:pPr>
        <w:pStyle w:val="BodyText"/>
        <w:spacing w:before="198" w:line="276" w:lineRule="auto"/>
        <w:ind w:right="953"/>
        <w:jc w:val="both"/>
        <w:rPr>
          <w:rFonts w:asciiTheme="majorBidi" w:hAnsiTheme="majorBidi" w:cstheme="majorBidi"/>
          <w:b/>
          <w:bCs/>
          <w:sz w:val="24"/>
          <w:szCs w:val="24"/>
        </w:rPr>
      </w:pPr>
    </w:p>
    <w:p w14:paraId="194C36C2" w14:textId="77777777" w:rsidR="00620D9F" w:rsidRDefault="00620D9F">
      <w:pPr>
        <w:rPr>
          <w:rFonts w:asciiTheme="majorBidi" w:hAnsiTheme="majorBidi" w:cstheme="majorBidi"/>
          <w:b/>
          <w:bCs/>
          <w:sz w:val="24"/>
          <w:szCs w:val="24"/>
        </w:rPr>
      </w:pPr>
      <w:r>
        <w:rPr>
          <w:rFonts w:asciiTheme="majorBidi" w:hAnsiTheme="majorBidi" w:cstheme="majorBidi"/>
          <w:b/>
          <w:bCs/>
          <w:sz w:val="24"/>
          <w:szCs w:val="24"/>
        </w:rPr>
        <w:br w:type="page"/>
      </w:r>
    </w:p>
    <w:p w14:paraId="0D9B6AF1" w14:textId="77777777" w:rsidR="00FC7B51" w:rsidRPr="00E040D1" w:rsidRDefault="00FC7B51" w:rsidP="00E040D1">
      <w:pPr>
        <w:spacing w:line="276" w:lineRule="auto"/>
        <w:jc w:val="center"/>
        <w:rPr>
          <w:rFonts w:asciiTheme="majorBidi" w:hAnsiTheme="majorBidi" w:cstheme="majorBidi"/>
          <w:b/>
          <w:bCs/>
          <w:sz w:val="24"/>
          <w:szCs w:val="24"/>
        </w:rPr>
      </w:pPr>
      <w:r w:rsidRPr="00E040D1">
        <w:rPr>
          <w:rFonts w:asciiTheme="majorBidi" w:hAnsiTheme="majorBidi" w:cstheme="majorBidi"/>
          <w:noProof/>
          <w:sz w:val="24"/>
          <w:szCs w:val="24"/>
        </w:rPr>
        <w:lastRenderedPageBreak/>
        <w:drawing>
          <wp:inline distT="0" distB="0" distL="0" distR="0" wp14:anchorId="5C00FFE4" wp14:editId="78621042">
            <wp:extent cx="4572000" cy="2743200"/>
            <wp:effectExtent l="0" t="0" r="0" b="0"/>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B65D03F-FC3D-4E10-97D2-5CDBB6E042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568ED7C" w14:textId="1E625B7F" w:rsidR="00FC7B51" w:rsidRPr="00E040D1" w:rsidRDefault="00FC7B51" w:rsidP="00E040D1">
      <w:pPr>
        <w:spacing w:line="276" w:lineRule="auto"/>
        <w:jc w:val="center"/>
        <w:rPr>
          <w:rFonts w:asciiTheme="majorBidi" w:hAnsiTheme="majorBidi" w:cstheme="majorBidi"/>
          <w:b/>
          <w:bCs/>
          <w:sz w:val="24"/>
          <w:szCs w:val="24"/>
        </w:rPr>
      </w:pPr>
      <w:r w:rsidRPr="00E040D1">
        <w:rPr>
          <w:rFonts w:asciiTheme="majorBidi" w:hAnsiTheme="majorBidi" w:cstheme="majorBidi"/>
          <w:b/>
          <w:bCs/>
          <w:sz w:val="24"/>
          <w:szCs w:val="24"/>
        </w:rPr>
        <w:t>Figure (1). NLR and CT among studied cases.</w:t>
      </w:r>
    </w:p>
    <w:p w14:paraId="032584A0" w14:textId="77777777" w:rsidR="00FC7B51" w:rsidRPr="00E040D1" w:rsidRDefault="00FC7B51" w:rsidP="00E040D1">
      <w:pPr>
        <w:spacing w:line="276" w:lineRule="auto"/>
        <w:jc w:val="center"/>
        <w:rPr>
          <w:rFonts w:asciiTheme="majorBidi" w:hAnsiTheme="majorBidi" w:cstheme="majorBidi"/>
          <w:b/>
          <w:bCs/>
          <w:sz w:val="24"/>
          <w:szCs w:val="24"/>
        </w:rPr>
      </w:pPr>
    </w:p>
    <w:p w14:paraId="515DA173" w14:textId="1007A2E2" w:rsidR="00FC7B51" w:rsidRPr="00E040D1" w:rsidRDefault="00FC7B51" w:rsidP="00E040D1">
      <w:pPr>
        <w:spacing w:line="276" w:lineRule="auto"/>
        <w:jc w:val="center"/>
        <w:rPr>
          <w:rFonts w:asciiTheme="majorBidi" w:hAnsiTheme="majorBidi" w:cstheme="majorBidi"/>
          <w:b/>
          <w:bCs/>
          <w:sz w:val="24"/>
          <w:szCs w:val="24"/>
        </w:rPr>
      </w:pPr>
      <w:r w:rsidRPr="00E040D1">
        <w:rPr>
          <w:rFonts w:asciiTheme="majorBidi" w:hAnsiTheme="majorBidi" w:cstheme="majorBidi"/>
          <w:noProof/>
          <w:sz w:val="24"/>
          <w:szCs w:val="24"/>
        </w:rPr>
        <w:drawing>
          <wp:inline distT="0" distB="0" distL="0" distR="0" wp14:anchorId="10006403" wp14:editId="32C61D90">
            <wp:extent cx="4572000" cy="2743200"/>
            <wp:effectExtent l="0" t="0" r="0" b="0"/>
            <wp:docPr id="9" name="Chart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2C57CDC-C2BA-4326-B267-39CBC15BBB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D80D0D" w14:textId="0AA1A605" w:rsidR="00427926" w:rsidRPr="00E040D1" w:rsidRDefault="00FC7B51" w:rsidP="00E040D1">
      <w:pPr>
        <w:spacing w:line="276" w:lineRule="auto"/>
        <w:jc w:val="center"/>
        <w:rPr>
          <w:rFonts w:asciiTheme="majorBidi" w:hAnsiTheme="majorBidi" w:cstheme="majorBidi"/>
          <w:b/>
          <w:bCs/>
          <w:sz w:val="24"/>
          <w:szCs w:val="24"/>
        </w:rPr>
      </w:pPr>
      <w:r w:rsidRPr="00E040D1">
        <w:rPr>
          <w:rFonts w:asciiTheme="majorBidi" w:hAnsiTheme="majorBidi" w:cstheme="majorBidi"/>
          <w:b/>
          <w:bCs/>
          <w:sz w:val="24"/>
          <w:szCs w:val="24"/>
        </w:rPr>
        <w:t>Figure (2). ICU stay among studied cases.</w:t>
      </w:r>
    </w:p>
    <w:sectPr w:rsidR="00427926" w:rsidRPr="00E040D1" w:rsidSect="00097C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FEF62" w14:textId="77777777" w:rsidR="008D6CD7" w:rsidRDefault="008D6CD7" w:rsidP="00065B20">
      <w:pPr>
        <w:spacing w:after="0" w:line="240" w:lineRule="auto"/>
      </w:pPr>
      <w:r>
        <w:separator/>
      </w:r>
    </w:p>
  </w:endnote>
  <w:endnote w:type="continuationSeparator" w:id="0">
    <w:p w14:paraId="39A7EE97" w14:textId="77777777" w:rsidR="008D6CD7" w:rsidRDefault="008D6CD7" w:rsidP="0006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3B4E5" w14:textId="77777777" w:rsidR="008D6CD7" w:rsidRDefault="008D6CD7" w:rsidP="00065B20">
      <w:pPr>
        <w:spacing w:after="0" w:line="240" w:lineRule="auto"/>
      </w:pPr>
      <w:r>
        <w:separator/>
      </w:r>
    </w:p>
  </w:footnote>
  <w:footnote w:type="continuationSeparator" w:id="0">
    <w:p w14:paraId="716DDDB6" w14:textId="77777777" w:rsidR="008D6CD7" w:rsidRDefault="008D6CD7" w:rsidP="0006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EE44463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6"/>
    <w:multiLevelType w:val="multilevel"/>
    <w:tmpl w:val="3B68803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9"/>
    <w:multiLevelType w:val="hybridMultilevel"/>
    <w:tmpl w:val="DF987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8F4E3E"/>
    <w:multiLevelType w:val="hybridMultilevel"/>
    <w:tmpl w:val="80269894"/>
    <w:lvl w:ilvl="0" w:tplc="F600E902">
      <w:start w:val="6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903C4"/>
    <w:multiLevelType w:val="hybridMultilevel"/>
    <w:tmpl w:val="F1FA98F6"/>
    <w:lvl w:ilvl="0" w:tplc="07E2C2E8">
      <w:start w:val="1"/>
      <w:numFmt w:val="decimal"/>
      <w:lvlText w:val="%1-"/>
      <w:lvlJc w:val="left"/>
      <w:pPr>
        <w:ind w:left="1123" w:hanging="360"/>
      </w:pPr>
      <w:rPr>
        <w:rFonts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5">
    <w:nsid w:val="172761BF"/>
    <w:multiLevelType w:val="hybridMultilevel"/>
    <w:tmpl w:val="4DB6BBB6"/>
    <w:lvl w:ilvl="0" w:tplc="EB2A3320">
      <w:start w:val="1"/>
      <w:numFmt w:val="decimal"/>
      <w:lvlText w:val="%1."/>
      <w:lvlJc w:val="left"/>
      <w:pPr>
        <w:ind w:left="6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880E08"/>
    <w:multiLevelType w:val="hybridMultilevel"/>
    <w:tmpl w:val="08C85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45DF6"/>
    <w:multiLevelType w:val="hybridMultilevel"/>
    <w:tmpl w:val="7264C0D8"/>
    <w:lvl w:ilvl="0" w:tplc="69B0E706">
      <w:start w:val="1"/>
      <w:numFmt w:val="decimal"/>
      <w:lvlText w:val="%1-"/>
      <w:lvlJc w:val="left"/>
      <w:pPr>
        <w:ind w:left="955" w:hanging="360"/>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8">
    <w:nsid w:val="797421FD"/>
    <w:multiLevelType w:val="hybridMultilevel"/>
    <w:tmpl w:val="31BC71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4"/>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73"/>
    <w:rsid w:val="00014666"/>
    <w:rsid w:val="00017D98"/>
    <w:rsid w:val="000222C0"/>
    <w:rsid w:val="00033209"/>
    <w:rsid w:val="0003351A"/>
    <w:rsid w:val="00037897"/>
    <w:rsid w:val="00037C6A"/>
    <w:rsid w:val="00065B20"/>
    <w:rsid w:val="00067C75"/>
    <w:rsid w:val="00072993"/>
    <w:rsid w:val="00072E2C"/>
    <w:rsid w:val="0007716B"/>
    <w:rsid w:val="00081E8B"/>
    <w:rsid w:val="0008767A"/>
    <w:rsid w:val="00097C38"/>
    <w:rsid w:val="000D22EE"/>
    <w:rsid w:val="000D4244"/>
    <w:rsid w:val="000E2662"/>
    <w:rsid w:val="000E37C0"/>
    <w:rsid w:val="001129A5"/>
    <w:rsid w:val="00114100"/>
    <w:rsid w:val="001263A0"/>
    <w:rsid w:val="0012648B"/>
    <w:rsid w:val="001435FD"/>
    <w:rsid w:val="00144A0D"/>
    <w:rsid w:val="00146C74"/>
    <w:rsid w:val="00160D20"/>
    <w:rsid w:val="00176860"/>
    <w:rsid w:val="001800B5"/>
    <w:rsid w:val="001A4DE7"/>
    <w:rsid w:val="001C0D25"/>
    <w:rsid w:val="001D356B"/>
    <w:rsid w:val="001D7166"/>
    <w:rsid w:val="0020237F"/>
    <w:rsid w:val="00216A19"/>
    <w:rsid w:val="00221D11"/>
    <w:rsid w:val="00227F27"/>
    <w:rsid w:val="0025589D"/>
    <w:rsid w:val="00274E0D"/>
    <w:rsid w:val="002B65EA"/>
    <w:rsid w:val="002C0207"/>
    <w:rsid w:val="002C2D0A"/>
    <w:rsid w:val="002D77CB"/>
    <w:rsid w:val="0030369A"/>
    <w:rsid w:val="0031041B"/>
    <w:rsid w:val="0031142D"/>
    <w:rsid w:val="00313926"/>
    <w:rsid w:val="00323D5B"/>
    <w:rsid w:val="003354A0"/>
    <w:rsid w:val="003359B0"/>
    <w:rsid w:val="00360C11"/>
    <w:rsid w:val="003777D1"/>
    <w:rsid w:val="00394257"/>
    <w:rsid w:val="003A3FD5"/>
    <w:rsid w:val="003A64F5"/>
    <w:rsid w:val="003B5297"/>
    <w:rsid w:val="00404679"/>
    <w:rsid w:val="00427926"/>
    <w:rsid w:val="00445C6D"/>
    <w:rsid w:val="00447E56"/>
    <w:rsid w:val="00493B2D"/>
    <w:rsid w:val="004B09FF"/>
    <w:rsid w:val="004D0288"/>
    <w:rsid w:val="004D2FB8"/>
    <w:rsid w:val="004E45ED"/>
    <w:rsid w:val="004E5672"/>
    <w:rsid w:val="004E766D"/>
    <w:rsid w:val="00510014"/>
    <w:rsid w:val="00530795"/>
    <w:rsid w:val="0053410F"/>
    <w:rsid w:val="005361A7"/>
    <w:rsid w:val="0054610C"/>
    <w:rsid w:val="00597A14"/>
    <w:rsid w:val="005A0176"/>
    <w:rsid w:val="005C4542"/>
    <w:rsid w:val="005F11BF"/>
    <w:rsid w:val="00620AE2"/>
    <w:rsid w:val="00620D9F"/>
    <w:rsid w:val="006378DF"/>
    <w:rsid w:val="006429EA"/>
    <w:rsid w:val="006954B8"/>
    <w:rsid w:val="006A0616"/>
    <w:rsid w:val="006A2E3F"/>
    <w:rsid w:val="006D2210"/>
    <w:rsid w:val="006E49DC"/>
    <w:rsid w:val="00701094"/>
    <w:rsid w:val="00737339"/>
    <w:rsid w:val="00751E1C"/>
    <w:rsid w:val="007809C4"/>
    <w:rsid w:val="00781249"/>
    <w:rsid w:val="00781888"/>
    <w:rsid w:val="00792B3C"/>
    <w:rsid w:val="007948E5"/>
    <w:rsid w:val="007A102D"/>
    <w:rsid w:val="007D54BE"/>
    <w:rsid w:val="00803026"/>
    <w:rsid w:val="00820097"/>
    <w:rsid w:val="0082689E"/>
    <w:rsid w:val="008415DC"/>
    <w:rsid w:val="008677C3"/>
    <w:rsid w:val="00885F56"/>
    <w:rsid w:val="008922AE"/>
    <w:rsid w:val="008D3D64"/>
    <w:rsid w:val="008D6CD7"/>
    <w:rsid w:val="008F304F"/>
    <w:rsid w:val="0090104D"/>
    <w:rsid w:val="00927B7C"/>
    <w:rsid w:val="00934EAE"/>
    <w:rsid w:val="00945A73"/>
    <w:rsid w:val="00950EB5"/>
    <w:rsid w:val="00980D82"/>
    <w:rsid w:val="009872EF"/>
    <w:rsid w:val="009C7297"/>
    <w:rsid w:val="009C7C17"/>
    <w:rsid w:val="009E40EE"/>
    <w:rsid w:val="009F199A"/>
    <w:rsid w:val="00A24326"/>
    <w:rsid w:val="00A32951"/>
    <w:rsid w:val="00A5181A"/>
    <w:rsid w:val="00A74821"/>
    <w:rsid w:val="00A956C6"/>
    <w:rsid w:val="00AA0866"/>
    <w:rsid w:val="00AA1E4C"/>
    <w:rsid w:val="00AA7854"/>
    <w:rsid w:val="00AB14AA"/>
    <w:rsid w:val="00AE072E"/>
    <w:rsid w:val="00AE096A"/>
    <w:rsid w:val="00B166A0"/>
    <w:rsid w:val="00B343CD"/>
    <w:rsid w:val="00B57452"/>
    <w:rsid w:val="00B70B75"/>
    <w:rsid w:val="00B73027"/>
    <w:rsid w:val="00B7496A"/>
    <w:rsid w:val="00B7537F"/>
    <w:rsid w:val="00B91610"/>
    <w:rsid w:val="00BA731B"/>
    <w:rsid w:val="00C00EC4"/>
    <w:rsid w:val="00C01F5D"/>
    <w:rsid w:val="00C178E3"/>
    <w:rsid w:val="00C305D4"/>
    <w:rsid w:val="00C91ECB"/>
    <w:rsid w:val="00C94F2E"/>
    <w:rsid w:val="00CA24BE"/>
    <w:rsid w:val="00CA4199"/>
    <w:rsid w:val="00CC3A77"/>
    <w:rsid w:val="00CD7459"/>
    <w:rsid w:val="00CE034A"/>
    <w:rsid w:val="00D046DB"/>
    <w:rsid w:val="00D36347"/>
    <w:rsid w:val="00D63A50"/>
    <w:rsid w:val="00D74942"/>
    <w:rsid w:val="00D750B1"/>
    <w:rsid w:val="00DB6A52"/>
    <w:rsid w:val="00DE1E06"/>
    <w:rsid w:val="00E00847"/>
    <w:rsid w:val="00E040D1"/>
    <w:rsid w:val="00E237FE"/>
    <w:rsid w:val="00E43310"/>
    <w:rsid w:val="00E46CC4"/>
    <w:rsid w:val="00E64F93"/>
    <w:rsid w:val="00E836F8"/>
    <w:rsid w:val="00E87550"/>
    <w:rsid w:val="00E94E14"/>
    <w:rsid w:val="00E950A3"/>
    <w:rsid w:val="00E96D60"/>
    <w:rsid w:val="00EA3ECB"/>
    <w:rsid w:val="00EC7AF1"/>
    <w:rsid w:val="00EE069C"/>
    <w:rsid w:val="00EF12A3"/>
    <w:rsid w:val="00EF21FE"/>
    <w:rsid w:val="00EF3EEF"/>
    <w:rsid w:val="00F24679"/>
    <w:rsid w:val="00F34385"/>
    <w:rsid w:val="00F57DB7"/>
    <w:rsid w:val="00F81E8D"/>
    <w:rsid w:val="00F879FE"/>
    <w:rsid w:val="00FC42F8"/>
    <w:rsid w:val="00FC44F5"/>
    <w:rsid w:val="00FC7B51"/>
    <w:rsid w:val="00FD0DED"/>
    <w:rsid w:val="00FD2BF6"/>
    <w:rsid w:val="00FD4A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31B6"/>
  <w15:chartTrackingRefBased/>
  <w15:docId w15:val="{68170808-2B4D-4ED3-907A-B969AAC0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78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4326"/>
    <w:pPr>
      <w:keepNext/>
      <w:keepLines/>
      <w:spacing w:before="40" w:after="0"/>
      <w:outlineLvl w:val="1"/>
    </w:pPr>
    <w:rPr>
      <w:rFonts w:ascii="Times New Roman" w:eastAsia="SimSun" w:hAnsi="Times New Roman" w:cs="Times New Roman"/>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305D4"/>
    <w:pPr>
      <w:spacing w:after="120"/>
    </w:pPr>
  </w:style>
  <w:style w:type="character" w:customStyle="1" w:styleId="BodyTextChar">
    <w:name w:val="Body Text Char"/>
    <w:basedOn w:val="DefaultParagraphFont"/>
    <w:link w:val="BodyText"/>
    <w:uiPriority w:val="99"/>
    <w:rsid w:val="00C305D4"/>
  </w:style>
  <w:style w:type="paragraph" w:styleId="NoSpacing">
    <w:name w:val="No Spacing"/>
    <w:uiPriority w:val="1"/>
    <w:qFormat/>
    <w:rsid w:val="003777D1"/>
    <w:pPr>
      <w:bidi/>
      <w:spacing w:after="0" w:line="240" w:lineRule="auto"/>
    </w:pPr>
  </w:style>
  <w:style w:type="character" w:styleId="Hyperlink">
    <w:name w:val="Hyperlink"/>
    <w:basedOn w:val="DefaultParagraphFont"/>
    <w:uiPriority w:val="99"/>
    <w:unhideWhenUsed/>
    <w:rsid w:val="00AA0866"/>
    <w:rPr>
      <w:color w:val="0563C1" w:themeColor="hyperlink"/>
      <w:u w:val="single"/>
    </w:rPr>
  </w:style>
  <w:style w:type="character" w:customStyle="1" w:styleId="UnresolvedMention">
    <w:name w:val="Unresolved Mention"/>
    <w:basedOn w:val="DefaultParagraphFont"/>
    <w:uiPriority w:val="99"/>
    <w:semiHidden/>
    <w:unhideWhenUsed/>
    <w:rsid w:val="00AA0866"/>
    <w:rPr>
      <w:color w:val="605E5C"/>
      <w:shd w:val="clear" w:color="auto" w:fill="E1DFDD"/>
    </w:rPr>
  </w:style>
  <w:style w:type="character" w:customStyle="1" w:styleId="Heading2Char">
    <w:name w:val="Heading 2 Char"/>
    <w:basedOn w:val="DefaultParagraphFont"/>
    <w:link w:val="Heading2"/>
    <w:uiPriority w:val="9"/>
    <w:rsid w:val="00A24326"/>
    <w:rPr>
      <w:rFonts w:ascii="Times New Roman" w:eastAsia="SimSun" w:hAnsi="Times New Roman" w:cs="Times New Roman"/>
      <w:b/>
      <w:sz w:val="32"/>
      <w:szCs w:val="26"/>
    </w:rPr>
  </w:style>
  <w:style w:type="paragraph" w:styleId="NormalWeb">
    <w:name w:val="Normal (Web)"/>
    <w:basedOn w:val="Normal"/>
    <w:uiPriority w:val="99"/>
    <w:rsid w:val="00A243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3789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65B2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basedOn w:val="Normal"/>
    <w:rsid w:val="00227F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24BE"/>
    <w:pPr>
      <w:bidi/>
      <w:spacing w:after="200" w:line="276" w:lineRule="auto"/>
      <w:ind w:left="720"/>
      <w:contextualSpacing/>
    </w:pPr>
  </w:style>
  <w:style w:type="paragraph" w:styleId="Header">
    <w:name w:val="header"/>
    <w:basedOn w:val="Normal"/>
    <w:link w:val="HeaderChar"/>
    <w:uiPriority w:val="99"/>
    <w:unhideWhenUsed/>
    <w:rsid w:val="00B7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37F"/>
  </w:style>
  <w:style w:type="paragraph" w:styleId="Footer">
    <w:name w:val="footer"/>
    <w:basedOn w:val="Normal"/>
    <w:link w:val="FooterChar"/>
    <w:uiPriority w:val="99"/>
    <w:unhideWhenUsed/>
    <w:rsid w:val="00B7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37F"/>
  </w:style>
  <w:style w:type="table" w:styleId="PlainTable2">
    <w:name w:val="Plain Table 2"/>
    <w:basedOn w:val="TableNormal"/>
    <w:uiPriority w:val="42"/>
    <w:rsid w:val="0078188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dx.doi.org/10.1016/S2213-2600(19)3041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Sheet2!$BQ$1</c:f>
              <c:strCache>
                <c:ptCount val="1"/>
                <c:pt idx="0">
                  <c:v>Group DEX</c:v>
                </c:pt>
              </c:strCache>
            </c:strRef>
          </c:tx>
          <c:spPr>
            <a:solidFill>
              <a:sysClr val="window" lastClr="FFFFFF"/>
            </a:solidFill>
            <a:ln w="22225">
              <a:solidFill>
                <a:sysClr val="windowText" lastClr="000000"/>
              </a:solidFill>
            </a:ln>
            <a:effectLst/>
          </c:spPr>
          <c:invertIfNegative val="0"/>
          <c:errBars>
            <c:errBarType val="both"/>
            <c:errValType val="cust"/>
            <c:noEndCap val="0"/>
            <c:plus>
              <c:numRef>
                <c:f>Sheet2!$BW$2:$BW$5</c:f>
                <c:numCache>
                  <c:formatCode>General</c:formatCode>
                  <c:ptCount val="4"/>
                  <c:pt idx="0">
                    <c:v>0.65200000000000002</c:v>
                  </c:pt>
                  <c:pt idx="1">
                    <c:v>0.43</c:v>
                  </c:pt>
                  <c:pt idx="2">
                    <c:v>0.75</c:v>
                  </c:pt>
                  <c:pt idx="3">
                    <c:v>1.054</c:v>
                  </c:pt>
                </c:numCache>
              </c:numRef>
            </c:plus>
            <c:minus>
              <c:numRef>
                <c:f>Sheet2!$BW$2:$BW$5</c:f>
                <c:numCache>
                  <c:formatCode>General</c:formatCode>
                  <c:ptCount val="4"/>
                  <c:pt idx="0">
                    <c:v>0.65200000000000002</c:v>
                  </c:pt>
                  <c:pt idx="1">
                    <c:v>0.43</c:v>
                  </c:pt>
                  <c:pt idx="2">
                    <c:v>0.75</c:v>
                  </c:pt>
                  <c:pt idx="3">
                    <c:v>1.054</c:v>
                  </c:pt>
                </c:numCache>
              </c:numRef>
            </c:minus>
            <c:spPr>
              <a:noFill/>
              <a:ln w="9525" cap="flat" cmpd="sng" algn="ctr">
                <a:solidFill>
                  <a:schemeClr val="tx1">
                    <a:lumMod val="65000"/>
                    <a:lumOff val="35000"/>
                  </a:schemeClr>
                </a:solidFill>
                <a:round/>
              </a:ln>
              <a:effectLst/>
            </c:spPr>
          </c:errBars>
          <c:cat>
            <c:multiLvlStrRef>
              <c:f>Sheet2!$BO$2:$BP$5</c:f>
              <c:multiLvlStrCache>
                <c:ptCount val="4"/>
                <c:lvl>
                  <c:pt idx="0">
                    <c:v>On admission</c:v>
                  </c:pt>
                  <c:pt idx="1">
                    <c:v> On 10th day</c:v>
                  </c:pt>
                  <c:pt idx="2">
                    <c:v>On admission</c:v>
                  </c:pt>
                  <c:pt idx="3">
                    <c:v>On 10th day</c:v>
                  </c:pt>
                </c:lvl>
                <c:lvl>
                  <c:pt idx="0">
                    <c:v>NLR (%)</c:v>
                  </c:pt>
                  <c:pt idx="2">
                    <c:v>CT (CO-RADS)</c:v>
                  </c:pt>
                </c:lvl>
              </c:multiLvlStrCache>
            </c:multiLvlStrRef>
          </c:cat>
          <c:val>
            <c:numRef>
              <c:f>Sheet2!$BQ$2:$BQ$5</c:f>
              <c:numCache>
                <c:formatCode>General</c:formatCode>
                <c:ptCount val="4"/>
                <c:pt idx="0">
                  <c:v>3.544</c:v>
                </c:pt>
                <c:pt idx="1">
                  <c:v>3.1080000000000001</c:v>
                </c:pt>
                <c:pt idx="2">
                  <c:v>4.26</c:v>
                </c:pt>
                <c:pt idx="3">
                  <c:v>3.5</c:v>
                </c:pt>
              </c:numCache>
            </c:numRef>
          </c:val>
          <c:extLst xmlns:c16r2="http://schemas.microsoft.com/office/drawing/2015/06/chart">
            <c:ext xmlns:c16="http://schemas.microsoft.com/office/drawing/2014/chart" uri="{C3380CC4-5D6E-409C-BE32-E72D297353CC}">
              <c16:uniqueId val="{00000000-A7C8-4938-9E5F-C34BF364B313}"/>
            </c:ext>
          </c:extLst>
        </c:ser>
        <c:ser>
          <c:idx val="1"/>
          <c:order val="1"/>
          <c:tx>
            <c:strRef>
              <c:f>Sheet2!$BR$1</c:f>
              <c:strCache>
                <c:ptCount val="1"/>
                <c:pt idx="0">
                  <c:v>Group SOL</c:v>
                </c:pt>
              </c:strCache>
            </c:strRef>
          </c:tx>
          <c:spPr>
            <a:solidFill>
              <a:sysClr val="windowText" lastClr="000000"/>
            </a:solidFill>
            <a:ln>
              <a:noFill/>
            </a:ln>
            <a:effectLst/>
          </c:spPr>
          <c:invertIfNegative val="0"/>
          <c:errBars>
            <c:errBarType val="both"/>
            <c:errValType val="cust"/>
            <c:noEndCap val="0"/>
            <c:plus>
              <c:numRef>
                <c:f>Sheet2!$BX$2:$BX$5</c:f>
                <c:numCache>
                  <c:formatCode>General</c:formatCode>
                  <c:ptCount val="4"/>
                  <c:pt idx="0">
                    <c:v>0.52700000000000002</c:v>
                  </c:pt>
                  <c:pt idx="1">
                    <c:v>0.53600000000000003</c:v>
                  </c:pt>
                  <c:pt idx="2">
                    <c:v>0.66600000000000004</c:v>
                  </c:pt>
                  <c:pt idx="3">
                    <c:v>0.99399999999999999</c:v>
                  </c:pt>
                </c:numCache>
              </c:numRef>
            </c:plus>
            <c:minus>
              <c:numRef>
                <c:f>Sheet2!$BX$2:$BX$5</c:f>
                <c:numCache>
                  <c:formatCode>General</c:formatCode>
                  <c:ptCount val="4"/>
                  <c:pt idx="0">
                    <c:v>0.52700000000000002</c:v>
                  </c:pt>
                  <c:pt idx="1">
                    <c:v>0.53600000000000003</c:v>
                  </c:pt>
                  <c:pt idx="2">
                    <c:v>0.66600000000000004</c:v>
                  </c:pt>
                  <c:pt idx="3">
                    <c:v>0.99399999999999999</c:v>
                  </c:pt>
                </c:numCache>
              </c:numRef>
            </c:minus>
            <c:spPr>
              <a:noFill/>
              <a:ln w="9525" cap="flat" cmpd="sng" algn="ctr">
                <a:solidFill>
                  <a:schemeClr val="tx1">
                    <a:lumMod val="65000"/>
                    <a:lumOff val="35000"/>
                  </a:schemeClr>
                </a:solidFill>
                <a:round/>
              </a:ln>
              <a:effectLst/>
            </c:spPr>
          </c:errBars>
          <c:cat>
            <c:multiLvlStrRef>
              <c:f>Sheet2!$BO$2:$BP$5</c:f>
              <c:multiLvlStrCache>
                <c:ptCount val="4"/>
                <c:lvl>
                  <c:pt idx="0">
                    <c:v>On admission</c:v>
                  </c:pt>
                  <c:pt idx="1">
                    <c:v> On 10th day</c:v>
                  </c:pt>
                  <c:pt idx="2">
                    <c:v>On admission</c:v>
                  </c:pt>
                  <c:pt idx="3">
                    <c:v>On 10th day</c:v>
                  </c:pt>
                </c:lvl>
                <c:lvl>
                  <c:pt idx="0">
                    <c:v>NLR (%)</c:v>
                  </c:pt>
                  <c:pt idx="2">
                    <c:v>CT (CO-RADS)</c:v>
                  </c:pt>
                </c:lvl>
              </c:multiLvlStrCache>
            </c:multiLvlStrRef>
          </c:cat>
          <c:val>
            <c:numRef>
              <c:f>Sheet2!$BR$2:$BR$5</c:f>
              <c:numCache>
                <c:formatCode>General</c:formatCode>
                <c:ptCount val="4"/>
                <c:pt idx="0">
                  <c:v>3.726</c:v>
                </c:pt>
                <c:pt idx="1">
                  <c:v>3.5059999999999998</c:v>
                </c:pt>
                <c:pt idx="2">
                  <c:v>4.38</c:v>
                </c:pt>
                <c:pt idx="3">
                  <c:v>3.54</c:v>
                </c:pt>
              </c:numCache>
            </c:numRef>
          </c:val>
          <c:extLst xmlns:c16r2="http://schemas.microsoft.com/office/drawing/2015/06/chart">
            <c:ext xmlns:c16="http://schemas.microsoft.com/office/drawing/2014/chart" uri="{C3380CC4-5D6E-409C-BE32-E72D297353CC}">
              <c16:uniqueId val="{00000001-A7C8-4938-9E5F-C34BF364B313}"/>
            </c:ext>
          </c:extLst>
        </c:ser>
        <c:dLbls>
          <c:showLegendKey val="0"/>
          <c:showVal val="0"/>
          <c:showCatName val="0"/>
          <c:showSerName val="0"/>
          <c:showPercent val="0"/>
          <c:showBubbleSize val="0"/>
        </c:dLbls>
        <c:gapWidth val="219"/>
        <c:overlap val="-27"/>
        <c:axId val="224176728"/>
        <c:axId val="224177120"/>
      </c:barChart>
      <c:catAx>
        <c:axId val="2241767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crossAx val="224177120"/>
        <c:crosses val="autoZero"/>
        <c:auto val="1"/>
        <c:lblAlgn val="ctr"/>
        <c:lblOffset val="100"/>
        <c:noMultiLvlLbl val="0"/>
      </c:catAx>
      <c:valAx>
        <c:axId val="224177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crossAx val="224176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38100" cap="flat" cmpd="sng" algn="ctr">
      <a:noFill/>
      <a:round/>
    </a:ln>
    <a:effectLst/>
  </c:spPr>
  <c:txPr>
    <a:bodyPr/>
    <a:lstStyle/>
    <a:p>
      <a:pPr>
        <a:defRPr sz="1200" b="1">
          <a:solidFill>
            <a:sysClr val="windowText" lastClr="000000"/>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1" i="0" u="none" strike="noStrike" kern="1200" spc="0" baseline="0">
                <a:solidFill>
                  <a:sysClr val="windowText" lastClr="000000"/>
                </a:solidFill>
                <a:latin typeface="+mn-lt"/>
                <a:ea typeface="+mn-ea"/>
                <a:cs typeface="+mn-cs"/>
              </a:defRPr>
            </a:pPr>
            <a:r>
              <a:rPr lang="en-US"/>
              <a:t>ICU stay time</a:t>
            </a:r>
          </a:p>
        </c:rich>
      </c:tx>
      <c:overlay val="0"/>
      <c:spPr>
        <a:noFill/>
        <a:ln>
          <a:noFill/>
        </a:ln>
        <a:effectLst/>
      </c:spPr>
      <c:txPr>
        <a:bodyPr rot="0" spcFirstLastPara="1" vertOverflow="ellipsis" vert="horz" wrap="square" anchor="ctr" anchorCtr="1"/>
        <a:lstStyle/>
        <a:p>
          <a:pPr>
            <a:defRPr sz="144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ysClr val="window" lastClr="FFFFFF"/>
              </a:solidFill>
              <a:ln w="25400">
                <a:solidFill>
                  <a:srgbClr val="000000"/>
                </a:solidFill>
              </a:ln>
              <a:effectLst/>
            </c:spPr>
          </c:dPt>
          <c:dPt>
            <c:idx val="1"/>
            <c:invertIfNegative val="0"/>
            <c:bubble3D val="0"/>
            <c:spPr>
              <a:solidFill>
                <a:sysClr val="windowText" lastClr="000000"/>
              </a:solidFill>
              <a:ln>
                <a:noFill/>
              </a:ln>
              <a:effectLst/>
            </c:spPr>
          </c:dPt>
          <c:errBars>
            <c:errBarType val="both"/>
            <c:errValType val="cust"/>
            <c:noEndCap val="0"/>
            <c:plus>
              <c:numRef>
                <c:f>Sheet2!$CG$2:$CH$2</c:f>
                <c:numCache>
                  <c:formatCode>General</c:formatCode>
                  <c:ptCount val="2"/>
                  <c:pt idx="0">
                    <c:v>4.2859999999999996</c:v>
                  </c:pt>
                  <c:pt idx="1">
                    <c:v>7.851</c:v>
                  </c:pt>
                </c:numCache>
              </c:numRef>
            </c:plus>
            <c:minus>
              <c:numRef>
                <c:f>Sheet2!$CG$2:$CH$2</c:f>
                <c:numCache>
                  <c:formatCode>General</c:formatCode>
                  <c:ptCount val="2"/>
                  <c:pt idx="0">
                    <c:v>4.2859999999999996</c:v>
                  </c:pt>
                  <c:pt idx="1">
                    <c:v>7.851</c:v>
                  </c:pt>
                </c:numCache>
              </c:numRef>
            </c:minus>
            <c:spPr>
              <a:noFill/>
              <a:ln w="9525" cap="flat" cmpd="sng" algn="ctr">
                <a:solidFill>
                  <a:schemeClr val="tx1">
                    <a:lumMod val="65000"/>
                    <a:lumOff val="35000"/>
                  </a:schemeClr>
                </a:solidFill>
                <a:round/>
              </a:ln>
              <a:effectLst/>
            </c:spPr>
          </c:errBars>
          <c:cat>
            <c:strRef>
              <c:f>Sheet2!$CB$1:$CC$1</c:f>
              <c:strCache>
                <c:ptCount val="2"/>
                <c:pt idx="0">
                  <c:v>Group DEX</c:v>
                </c:pt>
                <c:pt idx="1">
                  <c:v>Group SOL</c:v>
                </c:pt>
              </c:strCache>
            </c:strRef>
          </c:cat>
          <c:val>
            <c:numRef>
              <c:f>Sheet2!$CB$2:$CC$2</c:f>
              <c:numCache>
                <c:formatCode>General</c:formatCode>
                <c:ptCount val="2"/>
                <c:pt idx="0">
                  <c:v>12.5</c:v>
                </c:pt>
                <c:pt idx="1">
                  <c:v>14.68</c:v>
                </c:pt>
              </c:numCache>
            </c:numRef>
          </c:val>
          <c:extLst xmlns:c16r2="http://schemas.microsoft.com/office/drawing/2015/06/chart">
            <c:ext xmlns:c16="http://schemas.microsoft.com/office/drawing/2014/chart" uri="{C3380CC4-5D6E-409C-BE32-E72D297353CC}">
              <c16:uniqueId val="{00000000-8C91-458A-A917-B34DCDCA8780}"/>
            </c:ext>
          </c:extLst>
        </c:ser>
        <c:dLbls>
          <c:showLegendKey val="0"/>
          <c:showVal val="0"/>
          <c:showCatName val="0"/>
          <c:showSerName val="0"/>
          <c:showPercent val="0"/>
          <c:showBubbleSize val="0"/>
        </c:dLbls>
        <c:gapWidth val="219"/>
        <c:overlap val="-27"/>
        <c:axId val="103210016"/>
        <c:axId val="103210408"/>
      </c:barChart>
      <c:catAx>
        <c:axId val="1032100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crossAx val="103210408"/>
        <c:crosses val="autoZero"/>
        <c:auto val="1"/>
        <c:lblAlgn val="ctr"/>
        <c:lblOffset val="100"/>
        <c:noMultiLvlLbl val="0"/>
      </c:catAx>
      <c:valAx>
        <c:axId val="103210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US"/>
                  <a:t>Day</a:t>
                </a:r>
              </a:p>
            </c:rich>
          </c:tx>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crossAx val="10321001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38100" cap="flat" cmpd="sng" algn="ctr">
      <a:noFill/>
      <a:round/>
    </a:ln>
    <a:effectLst/>
  </c:spPr>
  <c:txPr>
    <a:bodyPr/>
    <a:lstStyle/>
    <a:p>
      <a:pPr>
        <a:defRPr sz="1200" b="1">
          <a:solidFill>
            <a:sysClr val="windowText" lastClr="000000"/>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16</Pages>
  <Words>6043</Words>
  <Characters>34447</Characters>
  <Application>Microsoft Office Word</Application>
  <DocSecurity>0</DocSecurity>
  <Lines>287</Lines>
  <Paragraphs>80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ahmed</dc:creator>
  <cp:keywords/>
  <dc:description/>
  <cp:lastModifiedBy>Dr Iman</cp:lastModifiedBy>
  <cp:revision>3</cp:revision>
  <dcterms:created xsi:type="dcterms:W3CDTF">2022-02-21T10:31:00Z</dcterms:created>
  <dcterms:modified xsi:type="dcterms:W3CDTF">2022-02-21T11:54:00Z</dcterms:modified>
</cp:coreProperties>
</file>